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68A0" w14:textId="77777777" w:rsidR="00FA3611" w:rsidRDefault="00FA3611" w:rsidP="00CC7439">
      <w:pPr>
        <w:rPr>
          <w:rFonts w:ascii="Arial Narrow" w:hAnsi="Arial Narrow" w:cs="Baskerville"/>
          <w:b/>
          <w:sz w:val="22"/>
          <w:szCs w:val="22"/>
        </w:rPr>
      </w:pPr>
    </w:p>
    <w:p w14:paraId="1E538976" w14:textId="77777777" w:rsidR="00FA3611" w:rsidRDefault="00FA3611" w:rsidP="00CC7439">
      <w:pPr>
        <w:rPr>
          <w:rFonts w:ascii="Arial Narrow" w:hAnsi="Arial Narrow" w:cs="Baskerville"/>
          <w:b/>
          <w:sz w:val="22"/>
          <w:szCs w:val="22"/>
        </w:rPr>
      </w:pPr>
    </w:p>
    <w:p w14:paraId="58B1FCC9" w14:textId="77777777" w:rsidR="00E41767" w:rsidRDefault="00E41767" w:rsidP="00B411E5">
      <w:pPr>
        <w:jc w:val="center"/>
        <w:rPr>
          <w:rFonts w:ascii="Arial Narrow" w:hAnsi="Arial Narrow" w:cs="Baskerville"/>
          <w:b/>
          <w:sz w:val="22"/>
          <w:szCs w:val="22"/>
        </w:rPr>
      </w:pPr>
      <w:r w:rsidRPr="00525E8E">
        <w:rPr>
          <w:rFonts w:ascii="Arial Narrow" w:hAnsi="Arial Narrow" w:cs="Baskerville"/>
          <w:b/>
          <w:sz w:val="22"/>
          <w:szCs w:val="22"/>
        </w:rPr>
        <w:t>CURRICULUM VITAE</w:t>
      </w:r>
    </w:p>
    <w:p w14:paraId="05CD245A" w14:textId="77777777" w:rsidR="00FA3611" w:rsidRDefault="00FA3611" w:rsidP="00B411E5">
      <w:pPr>
        <w:jc w:val="center"/>
        <w:rPr>
          <w:rFonts w:ascii="Arial Narrow" w:hAnsi="Arial Narrow" w:cs="Baskerville"/>
          <w:b/>
          <w:sz w:val="22"/>
          <w:szCs w:val="22"/>
        </w:rPr>
      </w:pPr>
    </w:p>
    <w:p w14:paraId="29F831D1" w14:textId="77777777" w:rsidR="00FA3611" w:rsidRDefault="00FA3611" w:rsidP="00B411E5">
      <w:pPr>
        <w:jc w:val="center"/>
        <w:rPr>
          <w:rFonts w:ascii="Arial Narrow" w:hAnsi="Arial Narrow" w:cs="Baskerville"/>
          <w:b/>
          <w:sz w:val="22"/>
          <w:szCs w:val="22"/>
        </w:rPr>
      </w:pPr>
    </w:p>
    <w:p w14:paraId="319BDD58" w14:textId="77777777" w:rsidR="00FA3611" w:rsidRPr="00525E8E" w:rsidRDefault="00FA3611" w:rsidP="00B411E5">
      <w:pPr>
        <w:jc w:val="center"/>
        <w:rPr>
          <w:rFonts w:ascii="Arial Narrow" w:hAnsi="Arial Narrow" w:cs="Baskerville"/>
          <w:b/>
          <w:sz w:val="22"/>
          <w:szCs w:val="22"/>
        </w:rPr>
      </w:pPr>
    </w:p>
    <w:p w14:paraId="3F3BA0BB" w14:textId="77777777" w:rsidR="00E41767" w:rsidRPr="00B411E5" w:rsidRDefault="00E41767">
      <w:pPr>
        <w:rPr>
          <w:sz w:val="22"/>
          <w:szCs w:val="22"/>
        </w:rPr>
        <w:sectPr w:rsidR="00E41767" w:rsidRPr="00B411E5">
          <w:pgSz w:w="11906" w:h="16838"/>
          <w:pgMar w:top="1440" w:right="1800" w:bottom="1440" w:left="1800" w:header="720" w:footer="720" w:gutter="0"/>
          <w:cols w:space="720"/>
          <w:docGrid w:linePitch="400" w:charSpace="32768"/>
        </w:sectPr>
      </w:pPr>
    </w:p>
    <w:p w14:paraId="6D920D7B" w14:textId="07B20715" w:rsidR="00E41767" w:rsidRDefault="004524C7">
      <w:pPr>
        <w:jc w:val="both"/>
        <w:rPr>
          <w:rFonts w:ascii="Arial Narrow" w:hAnsi="Arial Narrow" w:cs="Baskerville"/>
          <w:b/>
          <w:sz w:val="22"/>
          <w:szCs w:val="22"/>
        </w:rPr>
      </w:pPr>
      <w:r>
        <w:rPr>
          <w:rFonts w:ascii="Arial Narrow" w:hAnsi="Arial Narrow" w:cs="Baskerville"/>
          <w:b/>
          <w:sz w:val="22"/>
          <w:szCs w:val="22"/>
        </w:rPr>
        <w:lastRenderedPageBreak/>
        <w:t>José Martín y Pérez de Nanclares</w:t>
      </w:r>
    </w:p>
    <w:p w14:paraId="35842EC8" w14:textId="77777777" w:rsidR="00FA3611" w:rsidRPr="00525E8E" w:rsidRDefault="00FA3611">
      <w:pPr>
        <w:jc w:val="both"/>
        <w:rPr>
          <w:rFonts w:ascii="Arial Narrow" w:hAnsi="Arial Narrow" w:cs="Baskerville"/>
          <w:b/>
          <w:sz w:val="22"/>
          <w:szCs w:val="22"/>
        </w:rPr>
      </w:pPr>
    </w:p>
    <w:p w14:paraId="7ECCD63A" w14:textId="3E20E032" w:rsidR="004524C7" w:rsidRDefault="004524C7">
      <w:pPr>
        <w:jc w:val="both"/>
        <w:rPr>
          <w:rFonts w:ascii="Arial Narrow" w:hAnsi="Arial Narrow" w:cs="Baskerville"/>
          <w:sz w:val="22"/>
          <w:szCs w:val="22"/>
        </w:rPr>
      </w:pPr>
      <w:r w:rsidRPr="004524C7">
        <w:rPr>
          <w:rFonts w:ascii="Arial Narrow" w:hAnsi="Arial Narrow" w:cs="Baskerville"/>
          <w:sz w:val="22"/>
          <w:szCs w:val="22"/>
        </w:rPr>
        <w:t>Plaza de la Provincia 1,  2</w:t>
      </w:r>
      <w:r>
        <w:rPr>
          <w:rFonts w:ascii="Arial Narrow" w:hAnsi="Arial Narrow" w:cs="Baskerville"/>
          <w:sz w:val="22"/>
          <w:szCs w:val="22"/>
        </w:rPr>
        <w:t>.</w:t>
      </w:r>
      <w:r w:rsidRPr="004524C7">
        <w:rPr>
          <w:rFonts w:ascii="Arial Narrow" w:hAnsi="Arial Narrow" w:cs="Baskerville"/>
          <w:sz w:val="22"/>
          <w:szCs w:val="22"/>
        </w:rPr>
        <w:t>ª planta. Despacho 0332,  28071 MADRID</w:t>
      </w:r>
    </w:p>
    <w:p w14:paraId="48C402D9" w14:textId="2AACB177" w:rsidR="006C7A8A" w:rsidRPr="006C7A8A" w:rsidRDefault="00F80961">
      <w:pPr>
        <w:jc w:val="both"/>
        <w:rPr>
          <w:rFonts w:ascii="Arial Narrow" w:hAnsi="Arial Narrow" w:cs="Baskerville"/>
          <w:sz w:val="22"/>
          <w:szCs w:val="22"/>
        </w:rPr>
      </w:pPr>
      <w:hyperlink r:id="rId9" w:history="1">
        <w:r w:rsidR="004524C7" w:rsidRPr="00FF0655">
          <w:rPr>
            <w:rStyle w:val="Hipervnculo"/>
            <w:rFonts w:ascii="Arial Narrow" w:hAnsi="Arial Narrow" w:cs="Baskerville"/>
            <w:sz w:val="22"/>
            <w:szCs w:val="22"/>
          </w:rPr>
          <w:t>jose.mpdenanclares@maec.es</w:t>
        </w:r>
      </w:hyperlink>
      <w:r w:rsidR="004524C7">
        <w:rPr>
          <w:rFonts w:ascii="Arial Narrow" w:hAnsi="Arial Narrow" w:cs="Baskerville"/>
          <w:sz w:val="22"/>
          <w:szCs w:val="22"/>
          <w:u w:val="single"/>
        </w:rPr>
        <w:t xml:space="preserve"> </w:t>
      </w:r>
    </w:p>
    <w:p w14:paraId="5CB98C5F" w14:textId="77777777" w:rsidR="00E41767" w:rsidRPr="00B411E5" w:rsidRDefault="00E41767">
      <w:pPr>
        <w:jc w:val="both"/>
        <w:rPr>
          <w:rFonts w:ascii="Arial Narrow" w:hAnsi="Arial Narrow" w:cs="Baskerville"/>
          <w:sz w:val="22"/>
          <w:szCs w:val="22"/>
          <w:lang w:val="en-GB"/>
        </w:rPr>
      </w:pPr>
    </w:p>
    <w:p w14:paraId="554B054E" w14:textId="77777777" w:rsidR="00E41767" w:rsidRPr="00B411E5" w:rsidRDefault="00E41767">
      <w:pPr>
        <w:ind w:left="142"/>
        <w:jc w:val="both"/>
        <w:rPr>
          <w:rFonts w:ascii="Arial Narrow" w:hAnsi="Arial Narrow" w:cs="Baskerville"/>
          <w:sz w:val="22"/>
          <w:szCs w:val="22"/>
          <w:lang w:val="en-GB"/>
        </w:rPr>
      </w:pPr>
    </w:p>
    <w:p w14:paraId="3A1777A6" w14:textId="7ED8B475" w:rsidR="00E41767" w:rsidRPr="00B411E5" w:rsidRDefault="00E41767">
      <w:pPr>
        <w:jc w:val="both"/>
        <w:rPr>
          <w:rFonts w:ascii="Arial Narrow" w:hAnsi="Arial Narrow" w:cs="Baskerville"/>
          <w:sz w:val="22"/>
          <w:szCs w:val="22"/>
          <w:lang w:val="en-GB"/>
        </w:rPr>
      </w:pPr>
    </w:p>
    <w:p w14:paraId="3155EDE0" w14:textId="77777777" w:rsidR="00E41767" w:rsidRPr="00B411E5" w:rsidRDefault="00E41767">
      <w:pPr>
        <w:jc w:val="both"/>
        <w:rPr>
          <w:rFonts w:ascii="Arial Narrow" w:hAnsi="Arial Narrow" w:cs="Baskerville"/>
          <w:sz w:val="22"/>
          <w:szCs w:val="22"/>
          <w:lang w:val="en-GB"/>
        </w:rPr>
      </w:pPr>
    </w:p>
    <w:p w14:paraId="48938AA8" w14:textId="4A28809A" w:rsidR="00E41767" w:rsidRPr="00B411E5" w:rsidRDefault="00E41767">
      <w:pPr>
        <w:jc w:val="both"/>
        <w:rPr>
          <w:rFonts w:ascii="Arial Narrow" w:hAnsi="Arial Narrow" w:cs="Baskerville"/>
          <w:sz w:val="22"/>
          <w:szCs w:val="22"/>
          <w:lang w:val="en-GB"/>
        </w:rPr>
      </w:pPr>
    </w:p>
    <w:p w14:paraId="5F3B3887" w14:textId="77777777" w:rsidR="00E41767" w:rsidRPr="00B411E5" w:rsidRDefault="00E41767">
      <w:pPr>
        <w:jc w:val="both"/>
        <w:rPr>
          <w:rFonts w:ascii="Arial Narrow" w:hAnsi="Arial Narrow" w:cs="Baskerville"/>
          <w:sz w:val="22"/>
          <w:szCs w:val="22"/>
          <w:lang w:val="en-GB"/>
        </w:rPr>
        <w:sectPr w:rsidR="00E41767" w:rsidRPr="00B411E5" w:rsidSect="00442EB2">
          <w:type w:val="continuous"/>
          <w:pgSz w:w="11906" w:h="16838"/>
          <w:pgMar w:top="1440" w:right="1800" w:bottom="1440" w:left="1800" w:header="720" w:footer="720" w:gutter="0"/>
          <w:cols w:num="2" w:space="709"/>
          <w:docGrid w:linePitch="400" w:charSpace="32768"/>
        </w:sectPr>
      </w:pPr>
    </w:p>
    <w:p w14:paraId="43873835" w14:textId="77777777" w:rsidR="00FA3611" w:rsidRDefault="00FA3611">
      <w:pPr>
        <w:jc w:val="both"/>
        <w:rPr>
          <w:rFonts w:ascii="Arial Narrow" w:hAnsi="Arial Narrow" w:cs="Baskerville"/>
          <w:b/>
          <w:sz w:val="22"/>
          <w:szCs w:val="22"/>
          <w:u w:val="single"/>
          <w:lang w:val="en-GB"/>
        </w:rPr>
      </w:pPr>
    </w:p>
    <w:p w14:paraId="3F5DBA7C" w14:textId="30EB8701" w:rsidR="005914C4" w:rsidRPr="00B411E5" w:rsidRDefault="005914C4" w:rsidP="00591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jc w:val="both"/>
        <w:rPr>
          <w:b/>
          <w:sz w:val="22"/>
          <w:szCs w:val="22"/>
        </w:rPr>
      </w:pPr>
      <w:r>
        <w:rPr>
          <w:rFonts w:ascii="Arial Narrow" w:hAnsi="Arial Narrow" w:cs="Baskerville"/>
          <w:b/>
          <w:sz w:val="22"/>
          <w:szCs w:val="22"/>
          <w:lang w:val="en-GB"/>
        </w:rPr>
        <w:t xml:space="preserve">Current </w:t>
      </w:r>
      <w:r w:rsidR="00CD0D69">
        <w:rPr>
          <w:rFonts w:ascii="Arial Narrow" w:hAnsi="Arial Narrow" w:cs="Baskerville"/>
          <w:b/>
          <w:sz w:val="22"/>
          <w:szCs w:val="22"/>
          <w:lang w:val="en-GB"/>
        </w:rPr>
        <w:t>affiliation</w:t>
      </w: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>:</w:t>
      </w:r>
    </w:p>
    <w:p w14:paraId="09C7F99F" w14:textId="24EFE1AF" w:rsidR="005914C4" w:rsidRDefault="004524C7">
      <w:pPr>
        <w:jc w:val="both"/>
        <w:rPr>
          <w:rFonts w:ascii="Arial Narrow" w:hAnsi="Arial Narrow" w:cs="Baskerville"/>
          <w:b/>
          <w:sz w:val="22"/>
          <w:szCs w:val="22"/>
          <w:lang w:val="en-GB"/>
        </w:rPr>
      </w:pPr>
      <w:r>
        <w:rPr>
          <w:rFonts w:ascii="Arial Narrow" w:hAnsi="Arial Narrow" w:cs="Baskerville"/>
          <w:b/>
          <w:sz w:val="22"/>
          <w:szCs w:val="22"/>
          <w:lang w:val="en-GB"/>
        </w:rPr>
        <w:t>Professor</w:t>
      </w:r>
    </w:p>
    <w:p w14:paraId="57C002AE" w14:textId="77777777" w:rsidR="005914C4" w:rsidRDefault="005914C4">
      <w:pPr>
        <w:jc w:val="both"/>
        <w:rPr>
          <w:rFonts w:ascii="Arial Narrow" w:hAnsi="Arial Narrow" w:cs="Baskerville"/>
          <w:sz w:val="22"/>
          <w:szCs w:val="22"/>
          <w:lang w:val="en-GB"/>
        </w:rPr>
      </w:pPr>
      <w:r>
        <w:rPr>
          <w:rFonts w:ascii="Arial Narrow" w:hAnsi="Arial Narrow" w:cs="Baskerville"/>
          <w:sz w:val="22"/>
          <w:szCs w:val="22"/>
          <w:lang w:val="en-GB"/>
        </w:rPr>
        <w:t>Department of Public International Law and EU Law</w:t>
      </w:r>
      <w:r w:rsidR="00CD2885">
        <w:rPr>
          <w:rFonts w:ascii="Arial Narrow" w:hAnsi="Arial Narrow" w:cs="Baskerville"/>
          <w:sz w:val="22"/>
          <w:szCs w:val="22"/>
          <w:lang w:val="en-GB"/>
        </w:rPr>
        <w:t xml:space="preserve">, </w:t>
      </w:r>
      <w:r>
        <w:rPr>
          <w:rFonts w:ascii="Arial Narrow" w:hAnsi="Arial Narrow" w:cs="Baskerville"/>
          <w:sz w:val="22"/>
          <w:szCs w:val="22"/>
          <w:lang w:val="en-GB"/>
        </w:rPr>
        <w:t>University of Salamanca</w:t>
      </w:r>
    </w:p>
    <w:p w14:paraId="21B1AC86" w14:textId="77777777" w:rsidR="004524C7" w:rsidRDefault="004524C7">
      <w:pPr>
        <w:jc w:val="both"/>
        <w:rPr>
          <w:rFonts w:ascii="Arial Narrow" w:hAnsi="Arial Narrow" w:cs="Baskerville"/>
          <w:sz w:val="22"/>
          <w:szCs w:val="22"/>
          <w:lang w:val="en-GB"/>
        </w:rPr>
      </w:pPr>
    </w:p>
    <w:p w14:paraId="68AC8ACA" w14:textId="3EBC8EF4" w:rsidR="00EF5C28" w:rsidRDefault="004524C7">
      <w:pPr>
        <w:jc w:val="both"/>
        <w:rPr>
          <w:rFonts w:ascii="Arial Narrow" w:hAnsi="Arial Narrow" w:cs="Baskerville"/>
          <w:b/>
          <w:bCs/>
          <w:sz w:val="22"/>
          <w:szCs w:val="22"/>
        </w:rPr>
      </w:pPr>
      <w:r w:rsidRPr="004524C7">
        <w:rPr>
          <w:rFonts w:ascii="Arial Narrow" w:hAnsi="Arial Narrow" w:cs="Baskerville"/>
          <w:b/>
          <w:bCs/>
          <w:sz w:val="22"/>
          <w:szCs w:val="22"/>
        </w:rPr>
        <w:t>Head of the</w:t>
      </w:r>
      <w:r>
        <w:rPr>
          <w:rFonts w:ascii="Arial Narrow" w:hAnsi="Arial Narrow" w:cs="Baskerville"/>
          <w:b/>
          <w:bCs/>
          <w:sz w:val="22"/>
          <w:szCs w:val="22"/>
        </w:rPr>
        <w:t xml:space="preserve"> International Law Division</w:t>
      </w:r>
    </w:p>
    <w:p w14:paraId="62C4F8AF" w14:textId="30C0757E" w:rsidR="004524C7" w:rsidRPr="004524C7" w:rsidRDefault="001C2D0D">
      <w:pPr>
        <w:jc w:val="both"/>
        <w:rPr>
          <w:rFonts w:ascii="Arial Narrow" w:hAnsi="Arial Narrow" w:cs="Baskerville"/>
          <w:sz w:val="22"/>
          <w:szCs w:val="22"/>
          <w:lang w:val="en-GB"/>
        </w:rPr>
      </w:pPr>
      <w:r>
        <w:rPr>
          <w:rFonts w:ascii="Arial Narrow" w:hAnsi="Arial Narrow" w:cs="Baskerville"/>
          <w:sz w:val="22"/>
          <w:szCs w:val="22"/>
          <w:lang w:val="en-GB"/>
        </w:rPr>
        <w:t xml:space="preserve">Spanish </w:t>
      </w:r>
      <w:r w:rsidR="00E31F26" w:rsidRPr="00E31F26">
        <w:rPr>
          <w:rFonts w:ascii="Arial Narrow" w:hAnsi="Arial Narrow" w:cs="Baskerville"/>
          <w:sz w:val="22"/>
          <w:szCs w:val="22"/>
          <w:lang w:val="en-GB"/>
        </w:rPr>
        <w:t>Ministry of Foreign Affairs and Cooperation</w:t>
      </w:r>
      <w:r w:rsidR="00777076">
        <w:rPr>
          <w:rFonts w:ascii="Arial Narrow" w:hAnsi="Arial Narrow" w:cs="Baskerville"/>
          <w:sz w:val="22"/>
          <w:szCs w:val="22"/>
          <w:lang w:val="en-GB"/>
        </w:rPr>
        <w:t>, Spain</w:t>
      </w:r>
    </w:p>
    <w:p w14:paraId="1AB9011B" w14:textId="77777777" w:rsidR="00E41767" w:rsidRPr="00B411E5" w:rsidRDefault="00E4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jc w:val="both"/>
        <w:rPr>
          <w:b/>
          <w:sz w:val="22"/>
          <w:szCs w:val="22"/>
        </w:rPr>
      </w:pPr>
      <w:r w:rsidRPr="00B411E5">
        <w:rPr>
          <w:rFonts w:ascii="Arial Narrow" w:hAnsi="Arial Narrow" w:cs="Baskerville"/>
          <w:b/>
          <w:sz w:val="22"/>
          <w:szCs w:val="22"/>
          <w:lang w:val="en-GB"/>
        </w:rPr>
        <w:t>Education</w:t>
      </w: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1779"/>
      </w:tblGrid>
      <w:tr w:rsidR="00777076" w:rsidRPr="00B411E5" w14:paraId="4A87DBDB" w14:textId="77777777" w:rsidTr="00C25FB7">
        <w:tc>
          <w:tcPr>
            <w:tcW w:w="6629" w:type="dxa"/>
            <w:shd w:val="clear" w:color="auto" w:fill="auto"/>
          </w:tcPr>
          <w:p w14:paraId="59FEA956" w14:textId="77777777" w:rsidR="00777076" w:rsidRDefault="00777076" w:rsidP="00C25FB7">
            <w:pPr>
              <w:pStyle w:val="CVNormal"/>
              <w:ind w:left="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PhD in Law</w:t>
            </w:r>
          </w:p>
          <w:p w14:paraId="19B338F0" w14:textId="3A04BABA" w:rsidR="00777076" w:rsidRPr="00B411E5" w:rsidRDefault="00777076" w:rsidP="00777076">
            <w:pPr>
              <w:pStyle w:val="CVNormal"/>
              <w:ind w:left="0"/>
              <w:rPr>
                <w:sz w:val="22"/>
                <w:szCs w:val="22"/>
              </w:rPr>
            </w:pPr>
            <w:r w:rsidRPr="00777076">
              <w:rPr>
                <w:sz w:val="22"/>
                <w:szCs w:val="22"/>
                <w:lang w:val="es-ES"/>
              </w:rPr>
              <w:t xml:space="preserve">Univ. of </w:t>
            </w:r>
            <w:r>
              <w:rPr>
                <w:sz w:val="22"/>
                <w:szCs w:val="22"/>
                <w:lang w:val="es-ES"/>
              </w:rPr>
              <w:t>Salamanca</w:t>
            </w:r>
            <w:r w:rsidRPr="00777076">
              <w:rPr>
                <w:sz w:val="22"/>
                <w:szCs w:val="22"/>
                <w:lang w:val="es-ES"/>
              </w:rPr>
              <w:t xml:space="preserve">, </w:t>
            </w:r>
            <w:r>
              <w:rPr>
                <w:sz w:val="22"/>
                <w:szCs w:val="22"/>
                <w:lang w:val="es-ES"/>
              </w:rPr>
              <w:t>Spain</w:t>
            </w:r>
            <w:r w:rsidRPr="00777076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14:paraId="0B9C09DC" w14:textId="77777777" w:rsidR="00777076" w:rsidRDefault="00777076" w:rsidP="00C25FB7">
            <w:pPr>
              <w:pStyle w:val="CVNormal"/>
              <w:snapToGrid w:val="0"/>
              <w:ind w:left="0"/>
              <w:jc w:val="right"/>
              <w:rPr>
                <w:sz w:val="22"/>
                <w:szCs w:val="22"/>
              </w:rPr>
            </w:pPr>
          </w:p>
          <w:p w14:paraId="7C32F903" w14:textId="77777777" w:rsidR="00777076" w:rsidRPr="00B411E5" w:rsidRDefault="00777076" w:rsidP="00C25FB7">
            <w:pPr>
              <w:pStyle w:val="CVNormal"/>
              <w:snapToGrid w:val="0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777076" w:rsidRPr="00B411E5" w14:paraId="45CFCF52" w14:textId="77777777" w:rsidTr="00C25FB7">
        <w:tc>
          <w:tcPr>
            <w:tcW w:w="6629" w:type="dxa"/>
            <w:shd w:val="clear" w:color="auto" w:fill="auto"/>
          </w:tcPr>
          <w:p w14:paraId="50515248" w14:textId="77777777" w:rsidR="00777076" w:rsidRDefault="00777076" w:rsidP="00C25FB7">
            <w:pPr>
              <w:pStyle w:val="CVNormal"/>
              <w:ind w:left="0"/>
              <w:rPr>
                <w:b/>
                <w:sz w:val="22"/>
                <w:szCs w:val="22"/>
                <w:lang w:val="es-ES"/>
              </w:rPr>
            </w:pPr>
          </w:p>
          <w:p w14:paraId="72EDDD4F" w14:textId="28C603BD" w:rsidR="00777076" w:rsidRDefault="00777076" w:rsidP="00C25FB7">
            <w:pPr>
              <w:pStyle w:val="CVNormal"/>
              <w:ind w:left="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PhD in Law</w:t>
            </w:r>
          </w:p>
          <w:p w14:paraId="2A5019AF" w14:textId="66FF4F37" w:rsidR="00777076" w:rsidRPr="00B411E5" w:rsidRDefault="00777076" w:rsidP="00C25FB7">
            <w:pPr>
              <w:pStyle w:val="CVNormal"/>
              <w:ind w:left="0"/>
              <w:rPr>
                <w:sz w:val="22"/>
                <w:szCs w:val="22"/>
              </w:rPr>
            </w:pPr>
            <w:r w:rsidRPr="00777076">
              <w:rPr>
                <w:sz w:val="22"/>
                <w:szCs w:val="22"/>
                <w:lang w:val="es-ES"/>
              </w:rPr>
              <w:t xml:space="preserve">Univ. of Saarbrücken, Germany </w:t>
            </w:r>
          </w:p>
        </w:tc>
        <w:tc>
          <w:tcPr>
            <w:tcW w:w="1779" w:type="dxa"/>
            <w:shd w:val="clear" w:color="auto" w:fill="auto"/>
          </w:tcPr>
          <w:p w14:paraId="3DD170A0" w14:textId="77777777" w:rsidR="00777076" w:rsidRDefault="00777076" w:rsidP="00C25FB7">
            <w:pPr>
              <w:pStyle w:val="CVNormal"/>
              <w:snapToGrid w:val="0"/>
              <w:ind w:left="0"/>
              <w:jc w:val="right"/>
              <w:rPr>
                <w:sz w:val="22"/>
                <w:szCs w:val="22"/>
              </w:rPr>
            </w:pPr>
          </w:p>
          <w:p w14:paraId="5DF61D53" w14:textId="659F2B8E" w:rsidR="00777076" w:rsidRPr="00B411E5" w:rsidRDefault="00777076" w:rsidP="00C25FB7">
            <w:pPr>
              <w:pStyle w:val="CVNormal"/>
              <w:snapToGrid w:val="0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777076" w:rsidRPr="00B411E5" w14:paraId="45F18A08" w14:textId="77777777" w:rsidTr="00E41767">
        <w:tc>
          <w:tcPr>
            <w:tcW w:w="6629" w:type="dxa"/>
            <w:shd w:val="clear" w:color="auto" w:fill="auto"/>
          </w:tcPr>
          <w:p w14:paraId="34F34013" w14:textId="77777777" w:rsidR="00777076" w:rsidRDefault="00777076" w:rsidP="00C25FB7">
            <w:pPr>
              <w:pStyle w:val="CVNormal"/>
              <w:ind w:left="0"/>
              <w:rPr>
                <w:b/>
                <w:sz w:val="22"/>
                <w:szCs w:val="22"/>
                <w:lang w:val="es-ES"/>
              </w:rPr>
            </w:pPr>
          </w:p>
          <w:p w14:paraId="5EA720FC" w14:textId="77777777" w:rsidR="00777076" w:rsidRDefault="00777076" w:rsidP="00C25FB7">
            <w:pPr>
              <w:pStyle w:val="CVNormal"/>
              <w:ind w:left="0"/>
              <w:rPr>
                <w:b/>
                <w:sz w:val="22"/>
                <w:szCs w:val="22"/>
                <w:lang w:val="es-ES"/>
              </w:rPr>
            </w:pPr>
            <w:r w:rsidRPr="00777076">
              <w:rPr>
                <w:b/>
                <w:sz w:val="22"/>
                <w:szCs w:val="22"/>
                <w:lang w:val="es-ES"/>
              </w:rPr>
              <w:t xml:space="preserve">Master of European Law </w:t>
            </w:r>
          </w:p>
          <w:p w14:paraId="24EB27A7" w14:textId="4CA95D74" w:rsidR="00777076" w:rsidRPr="00B411E5" w:rsidRDefault="00777076">
            <w:pPr>
              <w:pStyle w:val="CVNormal"/>
              <w:ind w:left="0"/>
              <w:rPr>
                <w:sz w:val="22"/>
                <w:szCs w:val="22"/>
              </w:rPr>
            </w:pPr>
            <w:r w:rsidRPr="00777076">
              <w:rPr>
                <w:sz w:val="22"/>
                <w:szCs w:val="22"/>
                <w:lang w:val="es-ES"/>
              </w:rPr>
              <w:t xml:space="preserve">Europa-Institut, Univ. of Saarbrücken, Germany </w:t>
            </w:r>
          </w:p>
        </w:tc>
        <w:tc>
          <w:tcPr>
            <w:tcW w:w="1779" w:type="dxa"/>
            <w:shd w:val="clear" w:color="auto" w:fill="auto"/>
          </w:tcPr>
          <w:p w14:paraId="5ACE77A9" w14:textId="77777777" w:rsidR="00777076" w:rsidRDefault="00777076">
            <w:pPr>
              <w:pStyle w:val="CVNormal"/>
              <w:snapToGrid w:val="0"/>
              <w:ind w:left="0"/>
              <w:jc w:val="right"/>
              <w:rPr>
                <w:sz w:val="22"/>
                <w:szCs w:val="22"/>
              </w:rPr>
            </w:pPr>
          </w:p>
          <w:p w14:paraId="6C5CFA0C" w14:textId="4DA07D31" w:rsidR="00777076" w:rsidRPr="00B411E5" w:rsidRDefault="00777076">
            <w:pPr>
              <w:pStyle w:val="CVNormal"/>
              <w:snapToGrid w:val="0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</w:tr>
      <w:tr w:rsidR="00564C23" w:rsidRPr="00B411E5" w14:paraId="7EC3FF23" w14:textId="77777777" w:rsidTr="00E41767">
        <w:trPr>
          <w:gridAfter w:val="1"/>
          <w:wAfter w:w="1779" w:type="dxa"/>
        </w:trPr>
        <w:tc>
          <w:tcPr>
            <w:tcW w:w="6629" w:type="dxa"/>
            <w:shd w:val="clear" w:color="auto" w:fill="auto"/>
          </w:tcPr>
          <w:p w14:paraId="7E411CF7" w14:textId="77777777" w:rsidR="00564C23" w:rsidRPr="00B411E5" w:rsidRDefault="00564C23" w:rsidP="00564C23">
            <w:pPr>
              <w:pStyle w:val="CVNormal"/>
              <w:ind w:left="0"/>
              <w:rPr>
                <w:sz w:val="22"/>
                <w:szCs w:val="22"/>
              </w:rPr>
            </w:pPr>
          </w:p>
        </w:tc>
      </w:tr>
      <w:tr w:rsidR="00E41767" w:rsidRPr="00B411E5" w14:paraId="15C46124" w14:textId="77777777" w:rsidTr="00E41767">
        <w:tc>
          <w:tcPr>
            <w:tcW w:w="6629" w:type="dxa"/>
            <w:shd w:val="clear" w:color="auto" w:fill="auto"/>
          </w:tcPr>
          <w:p w14:paraId="267408FC" w14:textId="77777777" w:rsidR="00777076" w:rsidRDefault="00777076">
            <w:pPr>
              <w:pStyle w:val="CVNormal"/>
              <w:ind w:left="0"/>
              <w:rPr>
                <w:b/>
                <w:sz w:val="22"/>
                <w:szCs w:val="22"/>
                <w:lang w:val="es-ES"/>
              </w:rPr>
            </w:pPr>
            <w:r w:rsidRPr="00777076">
              <w:rPr>
                <w:b/>
                <w:i/>
                <w:sz w:val="22"/>
                <w:szCs w:val="22"/>
                <w:lang w:val="es-ES"/>
              </w:rPr>
              <w:t>Zertifikat über europäische Studien</w:t>
            </w:r>
            <w:r w:rsidRPr="00777076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14:paraId="7C1F7C21" w14:textId="77777777" w:rsidR="0093264E" w:rsidRDefault="00777076">
            <w:pPr>
              <w:pStyle w:val="CVNormal"/>
              <w:ind w:left="0"/>
              <w:rPr>
                <w:sz w:val="22"/>
                <w:szCs w:val="22"/>
                <w:lang w:val="es-ES"/>
              </w:rPr>
            </w:pPr>
            <w:r w:rsidRPr="00777076">
              <w:rPr>
                <w:sz w:val="22"/>
                <w:szCs w:val="22"/>
                <w:lang w:val="es-ES"/>
              </w:rPr>
              <w:t xml:space="preserve">Europa-Institut, Univ. of Saarbrücken, Germany </w:t>
            </w:r>
          </w:p>
          <w:p w14:paraId="5EE9EA1C" w14:textId="77777777" w:rsidR="00777076" w:rsidRDefault="00777076">
            <w:pPr>
              <w:pStyle w:val="CVNormal"/>
              <w:ind w:left="0"/>
              <w:rPr>
                <w:sz w:val="22"/>
                <w:szCs w:val="22"/>
                <w:lang w:val="es-ES"/>
              </w:rPr>
            </w:pPr>
          </w:p>
          <w:p w14:paraId="4D87DD1E" w14:textId="46956545" w:rsidR="00777076" w:rsidRPr="00B411E5" w:rsidRDefault="00777076">
            <w:pPr>
              <w:pStyle w:val="CVNormal"/>
              <w:ind w:left="0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14:paraId="703AAB23" w14:textId="46125385" w:rsidR="00E41767" w:rsidRPr="00B411E5" w:rsidRDefault="00777076">
            <w:pPr>
              <w:pStyle w:val="CVNormal"/>
              <w:snapToGrid w:val="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</w:tr>
      <w:tr w:rsidR="0034388E" w:rsidRPr="00B411E5" w14:paraId="24AEF0A7" w14:textId="77777777" w:rsidTr="00E41767">
        <w:tc>
          <w:tcPr>
            <w:tcW w:w="6629" w:type="dxa"/>
            <w:shd w:val="clear" w:color="auto" w:fill="auto"/>
          </w:tcPr>
          <w:p w14:paraId="29CF6CA2" w14:textId="25977DA8" w:rsidR="0034388E" w:rsidRPr="00B411E5" w:rsidRDefault="0034388E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  <w:r w:rsidRPr="00B411E5">
              <w:rPr>
                <w:b/>
                <w:sz w:val="22"/>
                <w:szCs w:val="22"/>
              </w:rPr>
              <w:t xml:space="preserve"> in Law</w:t>
            </w:r>
          </w:p>
          <w:p w14:paraId="45EB55D3" w14:textId="535438B8" w:rsidR="0034388E" w:rsidRPr="00B411E5" w:rsidRDefault="001C2D0D">
            <w:pPr>
              <w:pStyle w:val="CVNormal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Salamanca</w:t>
            </w:r>
          </w:p>
        </w:tc>
        <w:tc>
          <w:tcPr>
            <w:tcW w:w="1779" w:type="dxa"/>
            <w:shd w:val="clear" w:color="auto" w:fill="auto"/>
          </w:tcPr>
          <w:p w14:paraId="1EBD0F6C" w14:textId="7D86A5A0" w:rsidR="0034388E" w:rsidRDefault="00777076" w:rsidP="0034388E">
            <w:pPr>
              <w:pStyle w:val="CVNormal"/>
              <w:tabs>
                <w:tab w:val="center" w:pos="725"/>
                <w:tab w:val="right" w:pos="1450"/>
              </w:tabs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1988</w:t>
            </w:r>
          </w:p>
          <w:p w14:paraId="25AD592E" w14:textId="77777777" w:rsidR="0034388E" w:rsidRDefault="0034388E" w:rsidP="0034388E">
            <w:pPr>
              <w:pStyle w:val="CVNormal"/>
              <w:tabs>
                <w:tab w:val="center" w:pos="725"/>
                <w:tab w:val="right" w:pos="1450"/>
              </w:tabs>
              <w:snapToGrid w:val="0"/>
              <w:ind w:left="0"/>
              <w:rPr>
                <w:sz w:val="22"/>
                <w:szCs w:val="22"/>
              </w:rPr>
            </w:pPr>
          </w:p>
          <w:p w14:paraId="70486747" w14:textId="3A4AB719" w:rsidR="0034388E" w:rsidRPr="00B411E5" w:rsidRDefault="0034388E" w:rsidP="00777076">
            <w:pPr>
              <w:pStyle w:val="CVNormal"/>
              <w:tabs>
                <w:tab w:val="center" w:pos="725"/>
                <w:tab w:val="right" w:pos="1450"/>
              </w:tabs>
              <w:snapToGrid w:val="0"/>
              <w:ind w:left="0"/>
              <w:rPr>
                <w:sz w:val="22"/>
                <w:szCs w:val="22"/>
              </w:rPr>
            </w:pPr>
          </w:p>
        </w:tc>
      </w:tr>
    </w:tbl>
    <w:p w14:paraId="6FE800B9" w14:textId="09BF2DC8" w:rsidR="00E41767" w:rsidRPr="00B411E5" w:rsidRDefault="00E4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jc w:val="both"/>
        <w:rPr>
          <w:rFonts w:ascii="Arial Narrow" w:hAnsi="Arial Narrow" w:cs="Times New Roman"/>
          <w:b/>
          <w:sz w:val="22"/>
          <w:szCs w:val="22"/>
          <w:lang w:val="en-US"/>
        </w:rPr>
      </w:pPr>
      <w:r w:rsidRPr="00B411E5">
        <w:rPr>
          <w:rFonts w:ascii="Arial Narrow" w:hAnsi="Arial Narrow" w:cs="Baskerville"/>
          <w:b/>
          <w:sz w:val="22"/>
          <w:szCs w:val="22"/>
          <w:lang w:val="en-GB"/>
        </w:rPr>
        <w:t>Professional experience</w:t>
      </w: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>:</w:t>
      </w:r>
    </w:p>
    <w:tbl>
      <w:tblPr>
        <w:tblW w:w="8692" w:type="dxa"/>
        <w:tblLayout w:type="fixed"/>
        <w:tblLook w:val="0000" w:firstRow="0" w:lastRow="0" w:firstColumn="0" w:lastColumn="0" w:noHBand="0" w:noVBand="0"/>
      </w:tblPr>
      <w:tblGrid>
        <w:gridCol w:w="6062"/>
        <w:gridCol w:w="2630"/>
      </w:tblGrid>
      <w:tr w:rsidR="00E41767" w:rsidRPr="00B411E5" w14:paraId="7D7F702B" w14:textId="77777777" w:rsidTr="00350A2B">
        <w:tc>
          <w:tcPr>
            <w:tcW w:w="6062" w:type="dxa"/>
            <w:shd w:val="clear" w:color="auto" w:fill="auto"/>
          </w:tcPr>
          <w:p w14:paraId="13290551" w14:textId="77777777" w:rsidR="00E41767" w:rsidRDefault="001C2D0D" w:rsidP="001C2D0D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  <w:r w:rsidRPr="001C2D0D">
              <w:rPr>
                <w:b/>
                <w:sz w:val="22"/>
                <w:szCs w:val="22"/>
                <w:lang w:val="es-ES"/>
              </w:rPr>
              <w:t xml:space="preserve">Chief of the International Legal Department </w:t>
            </w:r>
          </w:p>
          <w:p w14:paraId="05FFD5FA" w14:textId="5B946244" w:rsidR="001C2D0D" w:rsidRPr="001C2D0D" w:rsidRDefault="001C2D0D" w:rsidP="001C2D0D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  <w:r w:rsidRPr="001C2D0D">
              <w:rPr>
                <w:sz w:val="22"/>
                <w:szCs w:val="22"/>
                <w:lang w:val="es-ES"/>
              </w:rPr>
              <w:t>Spanish Ministry of Foreign Affairs</w:t>
            </w:r>
            <w:r>
              <w:rPr>
                <w:sz w:val="22"/>
                <w:szCs w:val="22"/>
                <w:lang w:val="es-ES"/>
              </w:rPr>
              <w:t xml:space="preserve"> and Cooperat</w:t>
            </w:r>
            <w:r w:rsidR="00F80961">
              <w:rPr>
                <w:sz w:val="22"/>
                <w:szCs w:val="22"/>
                <w:lang w:val="es-ES"/>
              </w:rPr>
              <w:t>i</w:t>
            </w:r>
            <w:bookmarkStart w:id="0" w:name="_GoBack"/>
            <w:bookmarkEnd w:id="0"/>
            <w:r>
              <w:rPr>
                <w:sz w:val="22"/>
                <w:szCs w:val="22"/>
                <w:lang w:val="es-ES"/>
              </w:rPr>
              <w:t>on</w:t>
            </w:r>
          </w:p>
        </w:tc>
        <w:tc>
          <w:tcPr>
            <w:tcW w:w="2630" w:type="dxa"/>
            <w:shd w:val="clear" w:color="auto" w:fill="auto"/>
          </w:tcPr>
          <w:p w14:paraId="42C0835B" w14:textId="5D9B6948" w:rsidR="00010165" w:rsidRPr="00B411E5" w:rsidRDefault="001C2D0D">
            <w:pPr>
              <w:pStyle w:val="CVNormal"/>
              <w:snapToGrid w:val="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</w:t>
            </w:r>
            <w:r w:rsidR="00010165" w:rsidRPr="00B411E5">
              <w:rPr>
                <w:sz w:val="22"/>
                <w:szCs w:val="22"/>
              </w:rPr>
              <w:t>until present</w:t>
            </w:r>
          </w:p>
          <w:p w14:paraId="26652F23" w14:textId="77777777" w:rsidR="004009EA" w:rsidRDefault="004009EA" w:rsidP="005914C4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</w:p>
          <w:p w14:paraId="12CE1EAB" w14:textId="77777777" w:rsidR="005914C4" w:rsidRPr="00B411E5" w:rsidRDefault="005914C4" w:rsidP="005914C4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</w:p>
          <w:p w14:paraId="087B4E81" w14:textId="77777777" w:rsidR="00E41767" w:rsidRPr="00B411E5" w:rsidRDefault="00E41767">
            <w:pPr>
              <w:pStyle w:val="CVNormal"/>
              <w:snapToGrid w:val="0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5914C4" w:rsidRPr="00B411E5" w14:paraId="1AC27A49" w14:textId="77777777" w:rsidTr="00350A2B">
        <w:tc>
          <w:tcPr>
            <w:tcW w:w="6062" w:type="dxa"/>
            <w:shd w:val="clear" w:color="auto" w:fill="auto"/>
          </w:tcPr>
          <w:p w14:paraId="1CFF2280" w14:textId="724129E5" w:rsidR="005914C4" w:rsidRPr="00B411E5" w:rsidRDefault="001C2D0D" w:rsidP="005914C4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 of International and EU Law</w:t>
            </w:r>
          </w:p>
          <w:p w14:paraId="02DB4C2A" w14:textId="2F1C8D39" w:rsidR="005914C4" w:rsidRPr="00B411E5" w:rsidRDefault="001C2D0D" w:rsidP="005914C4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Salamanca</w:t>
            </w:r>
          </w:p>
          <w:p w14:paraId="32059B8F" w14:textId="77777777" w:rsidR="005914C4" w:rsidRPr="00B411E5" w:rsidRDefault="005914C4" w:rsidP="005914C4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1C2D8E8D" w14:textId="06802368" w:rsidR="005914C4" w:rsidRPr="00B411E5" w:rsidRDefault="001C2D0D" w:rsidP="00350A2B">
            <w:pPr>
              <w:pStyle w:val="CVNormal"/>
              <w:snapToGrid w:val="0"/>
              <w:ind w:left="34" w:right="0" w:hanging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2009 until present</w:t>
            </w:r>
          </w:p>
        </w:tc>
      </w:tr>
      <w:tr w:rsidR="001C2D0D" w:rsidRPr="00B411E5" w14:paraId="7359E1C3" w14:textId="77777777" w:rsidTr="00C25FB7">
        <w:tc>
          <w:tcPr>
            <w:tcW w:w="6062" w:type="dxa"/>
            <w:shd w:val="clear" w:color="auto" w:fill="auto"/>
          </w:tcPr>
          <w:p w14:paraId="4EF201FD" w14:textId="77777777" w:rsidR="001C2D0D" w:rsidRPr="00B411E5" w:rsidRDefault="001C2D0D" w:rsidP="00C25FB7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 of International and EU Law</w:t>
            </w:r>
          </w:p>
          <w:p w14:paraId="35431BBB" w14:textId="77777777" w:rsidR="001C2D0D" w:rsidRPr="00B411E5" w:rsidRDefault="001C2D0D" w:rsidP="00C25FB7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La Rioja</w:t>
            </w:r>
          </w:p>
          <w:p w14:paraId="6A8BA016" w14:textId="77777777" w:rsidR="001C2D0D" w:rsidRPr="00B411E5" w:rsidRDefault="001C2D0D" w:rsidP="00C25FB7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09894CF4" w14:textId="77777777" w:rsidR="001C2D0D" w:rsidRPr="00B411E5" w:rsidRDefault="001C2D0D" w:rsidP="00C25FB7">
            <w:pPr>
              <w:pStyle w:val="CVNormal"/>
              <w:snapToGrid w:val="0"/>
              <w:ind w:left="-2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2001-2009</w:t>
            </w:r>
          </w:p>
        </w:tc>
      </w:tr>
      <w:tr w:rsidR="005914C4" w:rsidRPr="00B411E5" w14:paraId="5D0C9CF2" w14:textId="77777777" w:rsidTr="00350A2B">
        <w:tc>
          <w:tcPr>
            <w:tcW w:w="6062" w:type="dxa"/>
            <w:shd w:val="clear" w:color="auto" w:fill="auto"/>
          </w:tcPr>
          <w:p w14:paraId="5D08A130" w14:textId="58C025C8" w:rsidR="001C2D0D" w:rsidRPr="00B411E5" w:rsidRDefault="001C2D0D" w:rsidP="001C2D0D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 Lecturer of International and EU Law</w:t>
            </w:r>
          </w:p>
          <w:p w14:paraId="61F84467" w14:textId="1B4E87E4" w:rsidR="001C2D0D" w:rsidRPr="00B411E5" w:rsidRDefault="001C2D0D" w:rsidP="001C2D0D">
            <w:pPr>
              <w:pStyle w:val="CVNormal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La Rioja</w:t>
            </w:r>
          </w:p>
          <w:p w14:paraId="5E3FC193" w14:textId="77777777" w:rsidR="005914C4" w:rsidRDefault="005914C4" w:rsidP="005914C4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</w:p>
          <w:p w14:paraId="35748D43" w14:textId="77777777" w:rsidR="001C2D0D" w:rsidRPr="00B411E5" w:rsidRDefault="001C2D0D" w:rsidP="005914C4">
            <w:pPr>
              <w:pStyle w:val="CVNormal"/>
              <w:snapToGri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0C0CAB19" w14:textId="0F977AB0" w:rsidR="005914C4" w:rsidRPr="00B411E5" w:rsidRDefault="001C2D0D" w:rsidP="001C2D0D">
            <w:pPr>
              <w:pStyle w:val="CVNormal"/>
              <w:snapToGrid w:val="0"/>
              <w:ind w:left="-2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1996-2001</w:t>
            </w:r>
          </w:p>
        </w:tc>
      </w:tr>
    </w:tbl>
    <w:p w14:paraId="21991B54" w14:textId="77777777" w:rsidR="00E41767" w:rsidRPr="00B411E5" w:rsidRDefault="00E41767" w:rsidP="003078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jc w:val="both"/>
        <w:rPr>
          <w:rFonts w:ascii="Arial Narrow" w:hAnsi="Arial Narrow" w:cs="Times New Roman"/>
          <w:b/>
          <w:sz w:val="22"/>
          <w:szCs w:val="22"/>
          <w:lang w:val="en-US"/>
        </w:rPr>
      </w:pPr>
      <w:r w:rsidRPr="00B411E5">
        <w:rPr>
          <w:rFonts w:ascii="Arial Narrow" w:hAnsi="Arial Narrow" w:cs="Baskerville"/>
          <w:b/>
          <w:sz w:val="22"/>
          <w:szCs w:val="22"/>
          <w:lang w:val="en-GB"/>
        </w:rPr>
        <w:lastRenderedPageBreak/>
        <w:t>Publications</w:t>
      </w: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>:</w:t>
      </w:r>
    </w:p>
    <w:tbl>
      <w:tblPr>
        <w:tblStyle w:val="List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22"/>
      </w:tblGrid>
      <w:tr w:rsidR="00E41767" w:rsidRPr="00525E8E" w14:paraId="57C28F37" w14:textId="77777777" w:rsidTr="00DB76CB">
        <w:tc>
          <w:tcPr>
            <w:tcW w:w="8522" w:type="dxa"/>
          </w:tcPr>
          <w:p w14:paraId="48654F5A" w14:textId="71A1FD78" w:rsidR="00C25FB7" w:rsidRPr="00C25FB7" w:rsidRDefault="00C25FB7" w:rsidP="00C25FB7">
            <w:pPr>
              <w:snapToGrid w:val="0"/>
              <w:spacing w:after="120"/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25FB7">
              <w:rPr>
                <w:rFonts w:ascii="Arial Narrow" w:hAnsi="Arial Narrow" w:cs="Arial"/>
                <w:b/>
                <w:sz w:val="22"/>
                <w:szCs w:val="22"/>
              </w:rPr>
              <w:t>Books:</w:t>
            </w:r>
          </w:p>
          <w:p w14:paraId="5E5FFB57" w14:textId="48888A31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Die Bedeutung des Gemeinschaftsrechts für das Fernsehen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Univ. Saarbrücken (Germany), Saarbrücken, 1991</w:t>
            </w:r>
          </w:p>
          <w:p w14:paraId="233A181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Die EG-Fernsehrichtlinie: Rechtsgrundlage, Kommentierung und Umsetzung  in das Recht der EG-Mitgliedstaaten sowie Österreich und der Schweiz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Peter Lang, Frankfurt, Nueva York, Viena, París, Berna, 1995 (477 pages)</w:t>
            </w:r>
          </w:p>
          <w:p w14:paraId="06BA076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Directiva de televisión: fundamento jurídico, análisis y transposición al Derecho de los Estados miembros de la Unión Europea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Colex, Madrid, 1995 (607 pages)</w:t>
            </w:r>
          </w:p>
          <w:p w14:paraId="29BA382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posición de las CCAA ante el Tribunal de Justicia de las Comunidades Europeas (propuestas para una reforma)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Instituto Vasco de Administración Pública, Oñate, 1996 (89 pages)</w:t>
            </w:r>
          </w:p>
          <w:p w14:paraId="680A2708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El sistema de competencias de  la Comunidad Europea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sym w:font="Symbol" w:char="F0BE"/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germen iusinternacionalista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versus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vocación federal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sym w:font="Symbol" w:char="F0BE"/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McGraw Hill, Madrid, 1997 (251 pages) </w:t>
            </w:r>
          </w:p>
          <w:p w14:paraId="6888547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inmigración y el asilo en la Unión Europea—Hacia un nuevo espacio de libertad, seguridad y justicia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Colex, Madrid, 2002 (316 pages) </w:t>
            </w:r>
          </w:p>
          <w:p w14:paraId="089F6B7B" w14:textId="511C5A87" w:rsidR="0034388E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Federación supranacional: ¿un nuevo modelo para la Unión Europea?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Consejo Vasco del Movimiento Federal Europeo, Vitoria, 2003 (165 pages)</w:t>
            </w:r>
          </w:p>
          <w:p w14:paraId="220B688C" w14:textId="77777777" w:rsidR="0015293A" w:rsidRDefault="0015293A" w:rsidP="0015293A">
            <w:pPr>
              <w:snapToGrid w:val="0"/>
              <w:spacing w:after="120"/>
              <w:ind w:left="567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2A5FDB" w14:textId="59620FF7" w:rsidR="0015293A" w:rsidRPr="0015293A" w:rsidRDefault="0015293A" w:rsidP="0015293A">
            <w:pPr>
              <w:snapToGrid w:val="0"/>
              <w:spacing w:after="120"/>
              <w:ind w:left="567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Articles</w:t>
            </w:r>
          </w:p>
          <w:p w14:paraId="37121F56" w14:textId="77777777" w:rsid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Die Bedeutung des Gemeinschaftsrechts für das Fernsehen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Univ. Saarbrücken (Germany), Saarbrücken, 1991</w:t>
            </w:r>
          </w:p>
          <w:p w14:paraId="5DB7CACA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A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“Lebensversicherung: zum Vorschlang der Kommision der EG für eine Dritte Richtlinie Lebensversicherungsrechtskoordinierungsrichtlinie”,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Versicherungsrecht   (Beilage Ausland)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1991, pp. 50-55 (en coautoría).</w:t>
            </w:r>
          </w:p>
          <w:p w14:paraId="6EEB8F0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“Fernsehmonopole und Gemeinschaftrecht”,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Zeitschrift für Urherber- und Medienrecht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12/1992, pp. 607-613 </w:t>
            </w:r>
          </w:p>
          <w:p w14:paraId="5DDA2195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sistema de reforma de los Tratados y la cuestión danesa”,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Comunidad Europea Aranzadi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3/1993, pp. 29-37 </w:t>
            </w:r>
          </w:p>
          <w:p w14:paraId="144733AA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principio de subsidiariedad en el TUE”,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TAPIA- Revista para el mundo del Derecho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 5/1993, pp. 9-13 </w:t>
            </w:r>
          </w:p>
          <w:p w14:paraId="0A95AEC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proyecto de ley para la transposición de la directiva televisión sin fronteras”,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Gaceta Jurídica de la CE y de la competencia,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vol. 94, pp. 5-13 </w:t>
            </w:r>
          </w:p>
          <w:p w14:paraId="2B5E5CE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nueva ley de protección de la cinematografía. Reflexiones en torno a una reforma exigida por el TJCE”,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Comunidad Europea Aranzadi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12/1994, pp. 38-41 </w:t>
            </w:r>
          </w:p>
          <w:p w14:paraId="5E1F29F7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atribución de competencias en materia cultural”,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Instituciones Europeas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1995-1, pp. 171-189 </w:t>
            </w:r>
          </w:p>
          <w:p w14:paraId="6C99C1F8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“Las competencias de la CE para celebrar el Acuerdo de la Organización Mundial del Comercio (comentario al dictamen del TJCE 1994, acuerdo OMC de 15 de noviembre de 1995)”,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Instituciones Europeas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nº2, 1995, pp. 593-618 </w:t>
            </w:r>
          </w:p>
          <w:p w14:paraId="61B32DBE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incidencia del principio de subsidiariedad en el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modus operandi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de la CE”,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Anuario Jurídico de La Rioja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1995, pp. 95-125 </w:t>
            </w:r>
          </w:p>
          <w:p w14:paraId="31EECC88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competencia de los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Länder y el Derecho Comunitario Derivado ante el TJCE”, Revista de Instituciones Europeas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1995-3, pp. 887-908 </w:t>
            </w:r>
          </w:p>
          <w:p w14:paraId="3129569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uso del decreto-ley para transponer directivas al derecho español: la peculiar problemática de la directiva sobre televisión digital: comentario a la STC 329/2005 de 15 de diciembre de 2005”,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nº 1996 </w:t>
            </w:r>
          </w:p>
          <w:p w14:paraId="19EAFEBA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“¿Necesita la Unión Europea una Constitución?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sym w:font="Symbol" w:char="F0BE"/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reflexiones en torno a una discusión casi estéril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sym w:font="Symbol" w:char="F0BE"/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Boletín Europeo de la Universidad de La Rioja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1997, pp. 13-21 </w:t>
            </w:r>
          </w:p>
          <w:p w14:paraId="673AD75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política audiovisual europea: especial referencia a la directiva televisión sin fronteras y su reforma”,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Cuadernos Europeos de Deusto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nº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16, 1997, pp. 91-120 </w:t>
            </w:r>
          </w:p>
          <w:p w14:paraId="5763560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Televisión Digital y el Derecho Comunitario Europeo: reflexiones en torno a una polémica transposición”, 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1/1997, pp. 215-238 </w:t>
            </w:r>
          </w:p>
          <w:p w14:paraId="18E74FD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“Comentario a la sentencia de 26 de julio de 1997 del Tribunal Supremo”,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Cuadernos Civitas de Jurisprudencia Civil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1997, pp. 1299-1308 </w:t>
            </w:r>
          </w:p>
          <w:p w14:paraId="7CEDA42B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flexibilidad en el Tratado de Amsterdam: especial referencia a la noción de cooperación reforzada”,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3/1998, pp. 205-232</w:t>
            </w:r>
          </w:p>
          <w:p w14:paraId="43BFFC0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reforma institucional y la cooperación reforzada en el Tratado de Ámsterdam”,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Cursos de Derecho Internacional de Vitoria- Gasteiz 1998,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pp. 91-144 </w:t>
            </w:r>
          </w:p>
          <w:p w14:paraId="3733B24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“Reflexiones en torno a la cooperación reforzada: la incógnita del Tratado de Ámsterdam”, in OLESTI RAYO, A. (coord.):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Las incertidumbres de la Unión Europea después del Tratado de Amsterdam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Cuadernos Cátedra, nº 8, Bosch, Barcelona, 2000, pp. 79-106 </w:t>
            </w:r>
          </w:p>
          <w:p w14:paraId="554AB6D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publicidad del tabaco y el Derecho Comunitario Europeo: sobre la difícil cohabitación entre las competencias de mercado único y de salud pública –Comentario a la sentencia del TJCE de 5 de octubre de 2000,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Alemania c. Parlamento Europeo y Consejo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(C-376/98)–“,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Gaceta Jurídica de la UE y de la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competencia, 2001, vol. 213, pp. 75-89 </w:t>
            </w:r>
          </w:p>
          <w:p w14:paraId="2E56262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“The Federal Elements on the European Union”,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Zeitschrift für Europarechtliche Studien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2001, pp. 595-625 </w:t>
            </w:r>
          </w:p>
          <w:p w14:paraId="3A02BF9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protección de los derechos fundamentales en la Unión Europea: cuestiones pendientes tras la Carta de Niza”, 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Anuario Jurídico de La Rioja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2001, pp 387-427 </w:t>
            </w:r>
          </w:p>
          <w:p w14:paraId="167E109B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cooperación policial y judicial en la Unión Europea: primeras reflexiones en torno a la lucha contra el terrorismo y la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euroorden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”, in Zúñiga Rodríguez, L.; Méndez Rodríguez, C.; Diego Díaz-Santos, Mª.R. (coord.):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El derecho penal ante la globalización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Colex, Madrid, 2002, pp. 171-191 </w:t>
            </w:r>
          </w:p>
          <w:p w14:paraId="7D4FB59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Constitución de la Unión Europea: reflexiones acerca del debate constitucional pendiente”, in Oreja Aguirre, M. (ed.):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El futuro de la Unión Europea: Unión política y coordinación económica,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Dykinson, Madrid, 2002, pp. 37-59 </w:t>
            </w:r>
          </w:p>
          <w:p w14:paraId="75F747C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delimitación de competencias entre la Unión Europea y los Estados miembros: sobre el difícil equilibrio entre la flexibilidad, la eficacia y la transparencia”,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de derecho Comunitario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2002, pp. 343-391 </w:t>
            </w:r>
          </w:p>
          <w:p w14:paraId="2A89DEA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</w:rPr>
              <w:t>“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La falta de competencia de la Unión Europea para elaborar un Código Civil Europeo: sobre los límites de la armonización en materia de Derecho Civil”, en Cámara Lapuente, S. (coord.):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Derecho Privado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Colex, Madrid, 2003, pp. 129-156 </w:t>
            </w:r>
          </w:p>
          <w:p w14:paraId="0630B26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cláusula de cooperación reforzada a la luz del Tratado de Niza: una modificación necesaria”, 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Noticias de la Unión Europea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2003, pp. 95-109 </w:t>
            </w:r>
          </w:p>
          <w:p w14:paraId="1537B557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“Hacia una política transatlántica de cielos abiertos”,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de Derecho Comunitario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2003, pp. 241-264 </w:t>
            </w:r>
          </w:p>
          <w:p w14:paraId="1534816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nuevo régimen de aplicación de los artículos 81 y 82 TCE. El Reglamento (CE) del Consejo de 16 de diciembre de 2002 relativo a la aplicación de las normas sobre competencia previstas en los artículos 81 y 82 TCE”,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General de Derecho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2003, núm. 1 (</w:t>
            </w:r>
            <w:hyperlink r:id="rId10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1A54379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Comisión: la (insuficiente) reforma de Niza y las (inciertas) perspectivas de la Convención”, en BECERRIL ATIENZA, B. y BENEYTO, J.M. (coords),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El gobierno de Europa: diseño institucional de la Unión Europea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Madrid, 2003, pp. 103-140 </w:t>
            </w:r>
          </w:p>
          <w:p w14:paraId="2BE63F8E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inmigración en la Unión europea: la difícil configuración de una política de inmigración”,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de Derecho de la Unión Europea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2003, núm. 5, pp. 83-90 </w:t>
            </w:r>
          </w:p>
          <w:p w14:paraId="3B20E2E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proyecto de Constitución europea: reflexiones sobre los trabajos de la Convención”,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de Derecho Comunitario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2003, pp. 527-572 </w:t>
            </w:r>
          </w:p>
          <w:p w14:paraId="77AEB513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“Avances en la política de inmigración de la Unión Europea”,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Anuario de la Facultad de Derecho de la Universidad Autónoma de Madrid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2003, pp. 93-118 </w:t>
            </w:r>
          </w:p>
          <w:p w14:paraId="04659A55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inmigración y la Unión Europea”, en MARTÍNEZ DE PISÓN CAVERO (coord),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Inmigración y ciudadanía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Universidad de La Rioja, Logroño, 2003, pp. 77-90 </w:t>
            </w:r>
          </w:p>
          <w:p w14:paraId="48DE6F3E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“Las Comunidades Autónomas en el proceso decisorio comunitario: Balance crítico y propuestas de reforma”,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Real Instituto Elcano de Estudios Internacionales y Estratégicos (</w:t>
            </w:r>
            <w:hyperlink r:id="rId11" w:history="1">
              <w:r w:rsidRPr="0015293A">
                <w:rPr>
                  <w:rStyle w:val="Hipervnculo"/>
                  <w:rFonts w:ascii="Arial Narrow" w:hAnsi="Arial Narrow" w:cs="Arial"/>
                  <w:i/>
                  <w:sz w:val="22"/>
                  <w:szCs w:val="22"/>
                  <w:lang w:val="en-GB"/>
                </w:rPr>
                <w:t>www.realinstitutoelcano.org</w:t>
              </w:r>
            </w:hyperlink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)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2004 (34 págs) </w:t>
            </w:r>
          </w:p>
          <w:p w14:paraId="185E787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fracaso de la CIG en Bruselas: ¿tropiezo o crisis?”,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General de Derecho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2004, núm. 3 (</w:t>
            </w:r>
            <w:hyperlink r:id="rId12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7B411A8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“Una Constitución europea para una Europa reunificada”, 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General de Derecho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2004, núm. 4 (</w:t>
            </w:r>
            <w:hyperlink r:id="rId13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0BA3224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“Las relaciones exteriores de la Unión Europea en el sector de la aviación: sobre el inicio de negociaciones con Estados Unidos”,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General de Derecho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2004, núm. 3 (</w:t>
            </w:r>
            <w:hyperlink r:id="rId14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0C65EB76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Declaración 1/2004 del Tribunal Constitucional: una nueva concepción del artículo 93 de la Constitución española”,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General de Derecho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2004, núm. 6 (</w:t>
            </w:r>
            <w:hyperlink r:id="rId15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3D06CB2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nuevo sistema de competencias en el proyecto de Constitución europea”, 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Cuadernos Europeos de Deusto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2004, pp. 75-114 </w:t>
            </w:r>
          </w:p>
          <w:p w14:paraId="48ACADB3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Constitución europea: otro (modesto) paso en el camino hacia una Federación europea” en SODUPE CORCUERA, K. (dir.),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Constitución europea —Un análisis de sus aspectos fundamentales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Universidad del País Vasco, Bilbao, 2004, pp. 51-89 </w:t>
            </w:r>
          </w:p>
          <w:p w14:paraId="239082A6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“Le nouveau sistème de competences dans le project de Constitution européenne”, en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Festschrif für Georg Ress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): Carl Heymann’s Verlag, Colonia (Alemania), 2005, pp. 713-728 </w:t>
            </w:r>
          </w:p>
          <w:p w14:paraId="79F0CCE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“Tiempo para la reflexión: sobre el error de llamar Constitución a lo que es un tratado internacional”,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General de Derecho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2005, núm. (</w:t>
            </w:r>
            <w:hyperlink r:id="rId16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25F0C4E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“Comunidades Autónomas y Unión Europea: hacia una mejora de la participación directa de las Comunidades Autónomas en el proceso decisorio comunitario”,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2005, pp. 759-805 </w:t>
            </w:r>
          </w:p>
          <w:p w14:paraId="20BDD05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nuevo espacio de libertad, seguridad y justicia en el proyecto de Constitución europea”, en AAVV,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Libro homenaje al profesor Juan Antonio Carrillo Salcedo. Soberanía del Estado y Derecho Internacional,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Universidad de Sevilla, Sevilla, 2005, tomo II, pp. 857-878 </w:t>
            </w:r>
          </w:p>
          <w:p w14:paraId="2CEF7DD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 La inmigración y el asilo a las puertas de la Constitución europea: un balance tras el 1 de mayo de 2004”, en BENEYTO, José María (ed.),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Europa de los veinticinco: desafíos políticos y económicos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Dykinson, Madrid, 2005, pp. 99-110 </w:t>
            </w:r>
          </w:p>
          <w:p w14:paraId="7ABA825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Constitución europea y el control del principio de subsidiariedad”, en CLOSA MONTERO, C. y FERNÁNDEZ SOLA, N. (coords.),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La Constitución de la Unión Europea,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Centro de Estudios Políticos y Constitucionales, Madrid, 2005, pp. 279-304 </w:t>
            </w:r>
          </w:p>
          <w:p w14:paraId="6026D4B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reparto de poder entre la Unión Europea y los Estados miembros: en busca de mayor transparencia y mayor control”, en VIDAL BENEYTO, J.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El reto constitucional de Europa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Dykinson, Madrid, 2005, pp. 355-378 </w:t>
            </w:r>
          </w:p>
          <w:p w14:paraId="4CBA4DA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“Hacia una nueva concepción del artículo 93 de la Constitución: Comentario a la declaración 1/2004 del Tribunal Constitucional”,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Española de Derecho Internacional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2005, pp. 799-818 </w:t>
            </w:r>
          </w:p>
          <w:p w14:paraId="2242318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inmigración y el asilo a las puertas de la Constitución europea: un balance tras el 1 de mayo de 2004”, en ABAD, L,/BECERRIL ATIENZA, B./BENEYTO, J.M./ ARGEREY, P. (coords.),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La Europa de los veinticinco: desafíos políticos y económicos/European Union at twenty-five: political and economic challenges,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Dykinson, Madrid, 2005, pp. 99-110 </w:t>
            </w:r>
          </w:p>
          <w:p w14:paraId="6073A9F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inmigración y el asilo en la Unión Europea: aspectos jurídico políticos”, en AAVV,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España como frontera de la Unión Europea: implicaciones para la Guardia Civil,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Ministerio del Interior, Madrid, 2005, pp. 29-42 </w:t>
            </w:r>
          </w:p>
          <w:p w14:paraId="504B537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“Los puntos de conexión en un espacio constitucional europeo multinivel: los efectos de la pertenencia a la Unión Europea para las Comunidades Autónomas”, en AAVV,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Territorio y autonomía: el alcance territorial de las competencias autonómicas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Instituto de Estudios Autonómicos-Generalitat de Cataluña, Barcelona, 2006, pp. 113-147 </w:t>
            </w:r>
          </w:p>
          <w:p w14:paraId="74CE2963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reto de la inmigración: sobre la conveniencia de una política común europea al estilo de la prevista en la Constitución europea”,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Revista General de Derecho Europeo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2006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núm. 10 (</w:t>
            </w:r>
            <w:hyperlink r:id="rId17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2416B267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posición del Parlamento Europeo en el espacio de libertad, seguridad y justicia”, en BARBÉ IZUEL, E./HERRANZ, A. (coords.),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Política exterior y Parlamento Europeo: hacia el equilibrio entre eficiencia y democracia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Parlamento Europeo, Barcelona, 2007, pp. 67-83 </w:t>
            </w:r>
          </w:p>
          <w:p w14:paraId="15C6E19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presidencia alemana de la Unión Europea: en busca de la piedra filosofal”, 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General de Derecho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2007, núm. 12 (</w:t>
            </w:r>
            <w:hyperlink r:id="rId18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www.iustel.com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 </w:t>
            </w:r>
          </w:p>
          <w:p w14:paraId="09C89B2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“Soluciones al actual impasse constitucional en la Unión Europea: la opción del Tratado reducido”, también disponible en inglés (“Solutions to the Current Constitutional Impasse in the European Union: the ‘Reduced Treaty’ Option”) DT 16/2007, Real Instituto Elcano (</w:t>
            </w:r>
            <w:hyperlink r:id="rId19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www.realinstitutoelcano.org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), Madrid, 2007 </w:t>
            </w:r>
          </w:p>
          <w:p w14:paraId="6FF5A77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“Hacia un nuevo tratado europeo: de cómo recuperar la esencia del Tratado Constitucional sin que realmente lo parezca”, 2007 (también disponible en inglés, “Towards a New European Treaty: How to Recover the Essence of the Constitutional Treaty, Without Really Seeming To”), ARI 76/2007 Real Instituto Elcano (</w:t>
            </w:r>
            <w:hyperlink r:id="rId20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www.realinstitutoelcano.org</w:t>
              </w:r>
            </w:hyperlink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), Madrid </w:t>
            </w:r>
          </w:p>
          <w:p w14:paraId="3E279C0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“El reparto de competencias entre la Unión Europea y los Estados miembros”, en MÉNDEZ DE VIGO, I. (coord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.), ¿Qué fue de la Constitución europea? —El Tratado de Lisboa: un camino hacia el futuro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Planeta, Madrid, 2007, pp. 71-84 </w:t>
            </w:r>
          </w:p>
          <w:p w14:paraId="1099EA8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“Die Wirkung der Supranationalität auf Föderalismus und Regionalismus”, AAVV,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Die Wirkung der Supranationalität auf die Gewaltenteilung-The impact of supranationality on the separation of powers-L’effet de la supranationalité sur la séparation des pouvoirs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”, SIPE, 2007, pp. 143-153 </w:t>
            </w:r>
          </w:p>
          <w:p w14:paraId="7BC5F32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“El espacio de libertad, seguridad y justicia”, en MÉNDEZ DE VIGO, I. (coord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.), ¿Qué fue de la Constitución europea? —El Tratado de Lisboa: un camino hacia el futuro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Planeta, Madrid, 2007, pp. 163-172 </w:t>
            </w:r>
          </w:p>
          <w:p w14:paraId="740F453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“Salidas al actual callejón constitucional de la Unión Europea: la opción de un Tratado reducido”, MÉNDEZ DE VIGO, I. (coord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.), ¿Qué fue de la Constitución europea? —El Tratado de Lisboa: un camino hacia el futuro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Planeta, Madrid, 2007, pp. 225-237 </w:t>
            </w:r>
          </w:p>
          <w:p w14:paraId="08E0160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nuevo espacio de libertad, seguridad y justicia en el Tratado de Lisboa”,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las Cortes Generales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2007, núms. 70-71-72, pp. 85-125 </w:t>
            </w:r>
          </w:p>
          <w:p w14:paraId="17BA7898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“Estudio preliminar”, en MARTÍN Y PÉREZ DE NANCLARES/ URREA CORRES, M.,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El Tratado de Lisboa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Marcial Pons, Madrid, 2008; disponible también en inglés “The Lisbon Treaty: A Preliminary Study”, WP 27/2008, Real Instituto Elcano, Madrid, 2008 (</w:t>
            </w:r>
            <w:hyperlink r:id="rId21" w:history="1">
              <w:r w:rsidRPr="0015293A">
                <w:rPr>
                  <w:rStyle w:val="Hipervnculo"/>
                  <w:rFonts w:ascii="Arial Narrow" w:hAnsi="Arial Narrow" w:cs="Arial"/>
                  <w:sz w:val="22"/>
                  <w:szCs w:val="22"/>
                  <w:lang w:val="en-GB"/>
                </w:rPr>
                <w:t>www.realinstitutoelcano.org</w:t>
              </w:r>
            </w:hyperlink>
          </w:p>
          <w:p w14:paraId="67B11577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“La nueva regulación del régimen de competencias en el Tratado de Lisboa: especial referencia al control del principio de subsidiariedad”, en MARTÍN Y PÉREZ DE NANCLARES, J. (coord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.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),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El Tratado de Lisboa: la salida de la crisis constitucional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Iustel, Madrid, 2008, pp. 273-294 </w:t>
            </w:r>
          </w:p>
          <w:p w14:paraId="0F91638E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sociedad internacional en la era de la mundialización: hacia un nuevo e inadecuado concepto de legítima defensa”, MARTÍNEZ DE PISÓN CAVERO, J.Mª. y URREA CORRES, M. (coords),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Seguridad internacional y guerra preventiva —Análisis de los nuevos discursos sobre la guerra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Perla ediciones, Logroño, 2008, pp. 229-246 </w:t>
            </w:r>
          </w:p>
          <w:p w14:paraId="57A4F296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derecho de información de las CCAA en los procesos de celebración de tratados internacionales: evolución a la luz de la práctica y de las recientes reformas de los Estatutos de Autonomía”, en AJA, E.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Informe de las Comunidades Autónomas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2007, Instituto de Derecho Público, Barcelona, 2008, pp. 83-108 </w:t>
            </w:r>
          </w:p>
          <w:p w14:paraId="6DFB409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contribución del Tribunal Constitucional alemán al Derecho comunitario europeo: el permanente ‘tira y afloja’ con el Tribunal de Justicia de la UE”, en RIPOLL CARULLA, S. (dir.) y UGARTEMENDÍA ECIZABARRENA, J. I.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España ante los tribunales internacionales europeos. Cuestiones de política judicial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IVAP, Oñate, 2008, pp. 175-197 </w:t>
            </w:r>
          </w:p>
          <w:p w14:paraId="5AE950AB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“Preparing the European Unio for the future? Necessary revisions of primary law alter the non-ratification of the Treaty establishing a Constitution for Europe-Spain”, en KOECK, H.F. Y KAROLLUS, M.M (eds),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Preparing the European Union for the Future?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FIDE 2008-Linz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Nomos Verlagsgesellsschaft, Viena, 2008, pp. 325-347</w:t>
            </w:r>
          </w:p>
          <w:p w14:paraId="43C8A755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“Art. 6: derecho a la libertad y la seguridad”, “Art. 7: derecho a la vida privada y familiar”, “Art. 8: Protección de datos de carácter personal”, “Art. 9: derecho a contraer matrimonio y derecho a fundar una familia”, “Art. 10: libertad de pensamiento, de conciencia y de religión”, “Art. 11: Libertad de expresión y de información”, “Art. 12: libertad de reunión y de asociación”, “Art. 13: libertad de las artes y las ciencias”, “Art. 14: derecho a la educación”, “Art. 15: libertad profesional y derecho a trabajar”,”Art. 16: libertad de empresa”, “Art. 17: derecho de propiedad”, “Art. 18: derecho de asilo”, “Art. 19: protección en caso de devolución, expulsión y extradición”, “Art. 53: nivel de protección”, en MANGAS MARTÍN, A. (dir.),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Carta de derechos de la Unión Europea — Comentario artículo por artículo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BBVA, Madrid, 2008, pp. 195-387, pp. 852-869 </w:t>
            </w:r>
          </w:p>
          <w:p w14:paraId="03C84159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reparto de competencias entre la Unión Europea y los Estados miembros (I)”, en en BENEYTO PÉREZ, J.M., MAILLO GONZÁLEZ-ARÚS, J. Y BECERRIL ATIENZA, B. (coords.),,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El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Thomson, 2009, pp. 425-486 </w:t>
            </w:r>
          </w:p>
          <w:p w14:paraId="347FA22A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“The European Union and the Protection of Human Rights”, en GÓMEZ ISA, F. y DE FEYTER, K. (eds.),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International Human Rights Law in a Global Context 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2ª ed., University of Deusto, Bilbao, 2009, pp. 777-801</w:t>
            </w:r>
          </w:p>
          <w:p w14:paraId="1F7CECE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“La duración ilimitada de la Unión Europea: ¿voluntad política o realidad jurídica?, en BADÍA MARTÍN, A.M., PIGRAU i SOLÉ, A. y OLESTI RAYO, A. (coords), Derecho Internacional y comunitario ante los retos de nuestro tiempo: homenaje a la profesora Victoria Abellán Honrubia, 2009, vol. 2, pp. 1091-1118</w:t>
            </w:r>
          </w:p>
          <w:p w14:paraId="1698B32F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papel de las regiones en el control del principio de subsidiariedad”, en AA.VV.,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El Tratado de Lisboa y las regiones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Parlamento Vasco, Vitoria, 2009, pp. 117-136</w:t>
            </w:r>
          </w:p>
          <w:p w14:paraId="7B1EC91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“Unión Europea y financiación autonómica: la jurisprudencia del Tribunal de Justicia sobre los sistemas tributarios de los entes territoriales subestatales”,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d’Estudis Autonòmics i Federals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2009, vol. 8, pp. 37-84 (with M. Urrea Corres)</w:t>
            </w:r>
          </w:p>
          <w:p w14:paraId="67149DD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“Comunidades Autónomas y Unión Europea tras la entrada en vigor del Tratado de Lisboa.  Sobre los riesgos de una reforma del Estado Autonómico sin reforma de la Constitución”,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Española de Derecho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2010, vol. 33, pp. 45-90</w:t>
            </w:r>
          </w:p>
          <w:p w14:paraId="1CF73285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entrada en vigor del Tratado de Lisboa: un nuevo marco jurídico estable para el desarrollo de la Unión Europea”, en MARTÍN Y PÉREZ DE NANCLARES, J. Y URREA CORRES, M.,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Tratado de Lisboa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Marcial Pons, 2ª ed., Madrid, 2010, pp. 17-67</w:t>
            </w:r>
          </w:p>
          <w:p w14:paraId="5259D8C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Derecho Internacional Público ante los interrogantes de una sociedad internacional en cambio permanente: ¿Hacia una cierta relativización de su carácter jurídico, internacional y público”, en ib. (coord..),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Estados y organizaciones internacionales ante las nuevas crisis globales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Iustel, Madrid, 2010, pp . 29-52</w:t>
            </w:r>
          </w:p>
          <w:p w14:paraId="5BDD460B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“Las competencias de la Unión Europea en materia de inmigración: nuevas potencialidades tras la entrada en vigor del Tratado de Lisboa”, en RAMOS QUINTANA, Margarita Isabel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Migraciones laborales: Acción de la OIT y política europea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Bomarzo, Albacete, 2010, pp. 241-265 </w:t>
            </w:r>
          </w:p>
          <w:p w14:paraId="52D4FD58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“Case C-118/08, </w:t>
            </w:r>
            <w:r w:rsidRPr="0015293A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Transportes Urbanos y Servicios Generales SAL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v. </w:t>
            </w:r>
            <w:r w:rsidRPr="0015293A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Admini- stración del Estado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Judgment of the Court of Justice (Grand Chamber) of 26 January 2010”,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Common Market Law Review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2010, pp. 1847-1860</w:t>
            </w:r>
          </w:p>
          <w:p w14:paraId="500801A5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“Órdago del Tribunal Constitucional alemán al proceso de integración europea — Algo más que una sentencia crítica con el Tratado de Lisboa—“,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d’Estudis Autonòmics i Federals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2011, núm. 13, pp. 97-145</w:t>
            </w:r>
          </w:p>
          <w:p w14:paraId="5E33E743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“Unidad y pluralidad en la jurisprudencia del Tribunal de Justicia de la Unión Europea”, en RODRIGO, A.J. y GARCÍA, C. (eds),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Unidad y pluralismo del Derecho Internacional-Coloquio en homenaje al profesor Oriol Casanovas, 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Tecnos, Madrid, 2011, pp. 254-317</w:t>
            </w:r>
          </w:p>
          <w:p w14:paraId="083BEAC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“Reflexiones a propósito de algunos riesgos para el adecuado cumplimiento del Derecho de la Unión Europea: sobre las repercusiones de la expulsión de gitanos de Francia”,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Española de Derecho Constitucional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2011, núm 92, pp. 11-40</w:t>
            </w:r>
          </w:p>
          <w:p w14:paraId="7DA9B9CA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desequilibrio entre libertad y seguridad”, en AAVV,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Informe sobre el estado del proceso de integración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Marcial Pons-Fundación Alternativas, Madrid, 2011, pp. 89-100</w:t>
            </w:r>
          </w:p>
          <w:p w14:paraId="734965C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protección de los derechos sociales en la Unión Europea: sobre el papel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cuasiconstitucional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del Tribunal de Justicia”, en Armin von Bogdandy, Héctor Fix-Fierro, Mariela Morales Antonizzi, Eduardo Ferrer McGregor (coords.),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Construcción y papel de los derechos fundamentales — Hacia un Ius constitutionale commune en América Latina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México, 2011, pp. 251-280 (published as well in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Iberoamericana de Derecho Procesal Constitucional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2011)</w:t>
            </w:r>
          </w:p>
          <w:p w14:paraId="61D18231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“Reflexiones a propósito de algunos riesgos para el adecuado cumplimiento del Derecho de la Unión Europea: sobre las repercusiones de expulsión de gitanos de Francia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”, Revista Española de Derecho Constitucional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2011, nº 92, pp. 11-40</w:t>
            </w:r>
          </w:p>
          <w:p w14:paraId="3D7C6CF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“Ley General de la Comunicación audiovisual y Derecho de la Unión Europea: sobre la libertad de recepción de los servicios de comunicación audiovisual prestados fuera de España”, en MUÑOZ MACHADO, S.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Regulación económica — Audiovisual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Iustel, Madrid, 2012, pp. 179-227</w:t>
            </w:r>
          </w:p>
          <w:p w14:paraId="696E01EB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“El nuevo tratado para reforzar la unión económica: una ‘cura de urgencia’ excepcional y transitoria”, ARI 1/2012, Real Instituto Elcano, Madrid, 2012, pp. 1-8</w:t>
            </w:r>
          </w:p>
          <w:p w14:paraId="3C4C96A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nuevo Tratado de Estabilidad, Coordinación y Gobernanza en la Unión Europea: reflexiones a propósito de una peculiar reforma realizada fuera de los tratados constitutivos”,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2012, núm. 42, pp. 397-431</w:t>
            </w:r>
          </w:p>
          <w:p w14:paraId="613D197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“Viejos y nuevos problemas en el espacio europeo de los derechos humanos — Reflexiones a propósito de la necesario cooperación judicial efectiva entre el TJUE y el TEDH, en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Libro homenaje al profesor don Manuel Pérez González, Tirant lo blanch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Valencia, 2012, pp. 791-820</w:t>
            </w:r>
          </w:p>
          <w:p w14:paraId="0006503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dimensión exterior del Espacio de Libertad, Seguridad y Justicia: en busca de una acción de la Unión eficaz, coherente y coordinada”, en MARTÍN y PÉREZ DE NANCLARES, J.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dimensión exterior del Espacio de Libertad, Seguridad y Justicia de la Unión Europea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Iustel, Madrid, 2012, pp. 23-48</w:t>
            </w:r>
          </w:p>
          <w:p w14:paraId="0D40C027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“La adhesión de la Unión Europea al CEDH: algo más que una cuestión meramente jurídica”, en von BOGDANDY, Armin; UGARTEMENDÍA, Juan Ignacio; SAIZ ARNAIZ, Alejandro; MORALES-ANTONIAZZI, Mariela (coords.), La tutela jurisdiccional de los derechos — Del constitucionalismo histórico al constitucionalismo de la integración, IVAP, Oñati, 2012, pp. 169-192</w:t>
            </w:r>
          </w:p>
          <w:p w14:paraId="08184E0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“The Legal Regime Governing Languages in the European Union: Advantage or Drawback?”, en CAMPBELL, Hellen, BAIGORRI, Jesús y ALONSO, Itziar (eds),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Legal Translation in International Organizations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Comares, Granada, 2012 </w:t>
            </w:r>
          </w:p>
          <w:p w14:paraId="2776D422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“El diálogo judicial entre el TJUE y el TEDH: algo más que el derecho a la última palabra en el triángulo judicial europeo”, en AAVV,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Tribunal Constitucional y diálogo entre tribunales — XVII Jornadas de la Asociación de Letrados del Tribunal Constitucional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CEDP, Madrid, 2013, pp. 161-208</w:t>
            </w:r>
          </w:p>
          <w:p w14:paraId="14B4DF5C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“Europa está enferma... pero no muerta” en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La Unión Europea como agente de paz: contradicciones y desafíos para el s. XXI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2013, pp. 71-72</w:t>
            </w:r>
          </w:p>
          <w:p w14:paraId="79E986D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“Celebración del Seminario conmemorativo del 75.º aniversario de la Asesoría Jurídica Internacional del MAEC”, Revista española de derecho internacional, 2014, Vol. 66, N.º 1, pp. 337-340</w:t>
            </w:r>
          </w:p>
          <w:p w14:paraId="0EE7C034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“Cita con la ambición: el Tribunal de Justicia ante el desafío de la adhesión de la Unión el CEDH”,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2014, Año nº 18, N.º 48, pp. 379-399</w:t>
            </w:r>
          </w:p>
          <w:p w14:paraId="6BC53E5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labor de asesoramiento jurídico internacional al Gobierno: el papel de la AJI”, en MARTÍN Y PÉREZ DE NANCLARES, J.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España y la práctica del Derecho internacional: LXXV Aniversario de la Asesoría Jurídica Internacional del MAEC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Madrid 2014, pp. 11-52</w:t>
            </w:r>
          </w:p>
          <w:p w14:paraId="08F66DD3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posición de los Estados miembros ante la evolución de la Unión Europea: comprometidos con el proceso de integración, convencidos de la necesidad de reforzar los rasgos de intergubernamentalidad”, </w:t>
            </w:r>
          </w:p>
          <w:p w14:paraId="70DFEAD3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Ley de tratados y otros acuerdos internacionales: una nueva regulación para disciplinar una práctica internacional difícil de ignorar”,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española de derecho internacional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2015, Vol. 67, N.º 1, pp. 13-60</w:t>
            </w:r>
          </w:p>
          <w:p w14:paraId="5940A32D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“Der judizielle Dialog im gemeinsamen europäischen Rechtsraum unter besonderer Betrachtung der unendlichen Geschichte des EU-Beitritts zur EMRK”, en CALLIESS, C. (Coord.), 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Herausforderungen an Staat und Verfassung: Völkerrecht, Europarecht, Menschenrechte; Liber Amicorum für Torsten Stein zum 70. Geburtstag,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2015, pp. 784-805 </w:t>
            </w:r>
          </w:p>
          <w:p w14:paraId="1FC0DF60" w14:textId="77777777" w:rsidR="0015293A" w:rsidRPr="0015293A" w:rsidRDefault="0015293A" w:rsidP="0015293A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“Die verfassungsgerichtliche Kooperation in Europa”, en Armin von Bogdandy (ed</w:t>
            </w:r>
            <w:r w:rsidRPr="0015293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.), Ius Publicum Europaeum</w:t>
            </w:r>
            <w:r w:rsidRPr="0015293A">
              <w:rPr>
                <w:rFonts w:ascii="Arial Narrow" w:hAnsi="Arial Narrow" w:cs="Arial"/>
                <w:sz w:val="22"/>
                <w:szCs w:val="22"/>
                <w:lang w:val="en-GB"/>
              </w:rPr>
              <w:t>, C.H. Beck, Munich (upcoming)</w:t>
            </w:r>
          </w:p>
          <w:p w14:paraId="0143204E" w14:textId="77777777" w:rsidR="009A3313" w:rsidRDefault="00E917F9" w:rsidP="009A3313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“</w:t>
            </w:r>
            <w:r w:rsidRPr="00E917F9">
              <w:rPr>
                <w:rFonts w:ascii="Arial Narrow" w:hAnsi="Arial Narrow" w:cs="Arial"/>
                <w:sz w:val="22"/>
                <w:szCs w:val="22"/>
                <w:lang w:val="en-GB"/>
              </w:rPr>
              <w:t>The question of the use of force in Spanish practice (2012-2015): a legal perspective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”, </w:t>
            </w:r>
            <w:r w:rsidR="009A3313" w:rsidRPr="009A331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Spanish yearbook of international law</w:t>
            </w:r>
            <w:r w:rsidR="009A331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, </w:t>
            </w:r>
            <w:r w:rsidR="009A3313"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Nº 19, 2015, </w:t>
            </w:r>
            <w:r w:rsidR="009A3313">
              <w:rPr>
                <w:rFonts w:ascii="Arial Narrow" w:hAnsi="Arial Narrow" w:cs="Arial"/>
                <w:sz w:val="22"/>
                <w:szCs w:val="22"/>
                <w:lang w:val="en-GB"/>
              </w:rPr>
              <w:t>pp</w:t>
            </w:r>
            <w:r w:rsidR="009A3313"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>. 315-328</w:t>
            </w:r>
          </w:p>
          <w:p w14:paraId="4C78B44F" w14:textId="77777777" w:rsidR="009A3313" w:rsidRDefault="009A3313" w:rsidP="009A3313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>“La Ley de tratados y otros acuerdos internacionales: una nueva regulación para disciplinar una práctica internacional difícil de ignorar",  Revista esp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añola de derecho internacional</w:t>
            </w: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Vol. 67, Nº 1, 2015, 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pp</w:t>
            </w: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>. 13-60</w:t>
            </w:r>
          </w:p>
          <w:p w14:paraId="13DC2219" w14:textId="77777777" w:rsidR="009A3313" w:rsidRDefault="009A3313" w:rsidP="009A3313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“La posición de los Estados miembros ante la evolución de la Unión Europea: comprometidos con el proceso de integración, convencidos de la necesidad de reforzar los rasgos de intergubernamentalidad”, </w:t>
            </w:r>
            <w:r w:rsidRPr="009A331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Revista de Derecho Comunitario Europeo</w:t>
            </w: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Año nº 19, Nº 50, 2015, 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pp</w:t>
            </w: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>. 125-171</w:t>
            </w:r>
          </w:p>
          <w:p w14:paraId="4731095E" w14:textId="77777777" w:rsidR="009A3313" w:rsidRDefault="009A3313" w:rsidP="009A3313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>“El TJUE pierde el rumbo en el dictamen 2/13: ¿merece todavía la pena la adhesión de la UE al CEDH?”, Revista de Derecho Comunitario Europeo, Año nº 19, Nº 52, 2015, pp. 825-869</w:t>
            </w:r>
          </w:p>
          <w:p w14:paraId="6FDBA129" w14:textId="3F41380F" w:rsidR="009A3313" w:rsidRPr="009A3313" w:rsidRDefault="009A3313" w:rsidP="009A3313">
            <w:pPr>
              <w:pStyle w:val="Prrafodelista"/>
              <w:numPr>
                <w:ilvl w:val="0"/>
                <w:numId w:val="2"/>
              </w:numPr>
              <w:snapToGrid w:val="0"/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9A3313">
              <w:rPr>
                <w:rFonts w:ascii="Arial Narrow" w:hAnsi="Arial Narrow" w:cs="Arial"/>
                <w:sz w:val="22"/>
                <w:szCs w:val="22"/>
                <w:lang w:val="en-GB"/>
              </w:rPr>
              <w:t>“Plataforma continental ampliada al oeste de las Islas Canarias: presentación española ante la comisión de límites de la plataforma continental”, Revista española de derecho internacional, Vol. 68, Nº 1, 2016, pp. 219-226</w:t>
            </w:r>
          </w:p>
        </w:tc>
      </w:tr>
      <w:tr w:rsidR="00E41767" w:rsidRPr="00B411E5" w14:paraId="2D82C770" w14:textId="77777777" w:rsidTr="00DB76CB">
        <w:tc>
          <w:tcPr>
            <w:tcW w:w="8522" w:type="dxa"/>
          </w:tcPr>
          <w:p w14:paraId="70209861" w14:textId="77777777" w:rsidR="00D4042A" w:rsidRPr="00D4042A" w:rsidRDefault="00D4042A" w:rsidP="00D4042A">
            <w:pPr>
              <w:snapToGrid w:val="0"/>
              <w:spacing w:after="1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54EBF270" w14:textId="48407904" w:rsidR="00E772C8" w:rsidRPr="00E772C8" w:rsidRDefault="00AE6363" w:rsidP="00E77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153"/>
        </w:tabs>
        <w:spacing w:before="240" w:after="240"/>
        <w:ind w:left="1985" w:hanging="1985"/>
        <w:jc w:val="both"/>
        <w:rPr>
          <w:rFonts w:ascii="Arial Narrow" w:hAnsi="Arial Narrow" w:cs="Times New Roman"/>
          <w:b/>
          <w:sz w:val="22"/>
          <w:szCs w:val="22"/>
          <w:lang w:val="en-US"/>
        </w:rPr>
      </w:pPr>
      <w:r>
        <w:rPr>
          <w:rFonts w:ascii="Arial Narrow" w:hAnsi="Arial Narrow" w:cs="Times New Roman"/>
          <w:b/>
          <w:sz w:val="22"/>
          <w:szCs w:val="22"/>
          <w:lang w:val="en-US"/>
        </w:rPr>
        <w:t>Ac</w:t>
      </w:r>
      <w:r w:rsidR="00E772C8" w:rsidRPr="00B411E5">
        <w:rPr>
          <w:rFonts w:ascii="Arial Narrow" w:hAnsi="Arial Narrow" w:cs="Times New Roman"/>
          <w:b/>
          <w:sz w:val="22"/>
          <w:szCs w:val="22"/>
          <w:lang w:val="en-US"/>
        </w:rPr>
        <w:t>ademic affiliations:</w:t>
      </w:r>
      <w:r w:rsidR="00E772C8" w:rsidRPr="00B411E5">
        <w:rPr>
          <w:rFonts w:ascii="Arial Narrow" w:hAnsi="Arial Narrow" w:cs="Times New Roman"/>
          <w:b/>
          <w:sz w:val="22"/>
          <w:szCs w:val="22"/>
          <w:lang w:val="en-US"/>
        </w:rPr>
        <w:tab/>
      </w:r>
    </w:p>
    <w:p w14:paraId="7C78B9EA" w14:textId="734D741C" w:rsidR="00D4042A" w:rsidRPr="00525E8E" w:rsidRDefault="00F8122A" w:rsidP="006A00C1">
      <w:pPr>
        <w:spacing w:after="2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525E8E">
        <w:rPr>
          <w:rFonts w:ascii="Arial Narrow" w:hAnsi="Arial Narrow" w:cs="Times New Roman"/>
          <w:sz w:val="22"/>
          <w:szCs w:val="22"/>
        </w:rPr>
        <w:t>Asociación Española de Profesores de Derecho Internacional y Relaciones Internacionales</w:t>
      </w:r>
    </w:p>
    <w:p w14:paraId="49F57088" w14:textId="77777777" w:rsidR="00DB76CB" w:rsidRPr="00B411E5" w:rsidRDefault="00DB76CB" w:rsidP="00DB76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153"/>
        </w:tabs>
        <w:spacing w:before="240" w:after="240"/>
        <w:ind w:left="1985" w:hanging="1985"/>
        <w:jc w:val="both"/>
        <w:rPr>
          <w:rFonts w:ascii="Arial Narrow" w:hAnsi="Arial Narrow" w:cs="Times New Roman"/>
          <w:b/>
          <w:sz w:val="22"/>
          <w:szCs w:val="22"/>
          <w:lang w:val="en-US"/>
        </w:rPr>
      </w:pP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>Research interests:</w:t>
      </w: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ab/>
      </w:r>
      <w:r w:rsidRPr="00B411E5">
        <w:rPr>
          <w:rFonts w:ascii="Arial Narrow" w:hAnsi="Arial Narrow" w:cs="Times New Roman"/>
          <w:b/>
          <w:sz w:val="22"/>
          <w:szCs w:val="22"/>
          <w:lang w:val="en-US"/>
        </w:rPr>
        <w:tab/>
      </w:r>
    </w:p>
    <w:p w14:paraId="4940FEA9" w14:textId="2A24AC17" w:rsidR="003968BD" w:rsidRDefault="00B411E5">
      <w:pPr>
        <w:spacing w:after="120"/>
        <w:jc w:val="both"/>
        <w:rPr>
          <w:rFonts w:ascii="Arial Narrow" w:hAnsi="Arial Narrow" w:cs="Times New Roman"/>
          <w:sz w:val="22"/>
          <w:szCs w:val="22"/>
          <w:lang w:val="en-US"/>
        </w:rPr>
      </w:pPr>
      <w:r w:rsidRPr="00B411E5">
        <w:rPr>
          <w:rFonts w:ascii="Arial Narrow" w:hAnsi="Arial Narrow" w:cs="Times New Roman"/>
          <w:sz w:val="22"/>
          <w:szCs w:val="22"/>
          <w:lang w:val="en-US"/>
        </w:rPr>
        <w:t>Constitution</w:t>
      </w:r>
      <w:r w:rsidR="006A00C1">
        <w:rPr>
          <w:rFonts w:ascii="Arial Narrow" w:hAnsi="Arial Narrow" w:cs="Times New Roman"/>
          <w:sz w:val="22"/>
          <w:szCs w:val="22"/>
          <w:lang w:val="en-US"/>
        </w:rPr>
        <w:t>al Law of the EU</w:t>
      </w:r>
      <w:r w:rsidR="00AE6363">
        <w:rPr>
          <w:rFonts w:ascii="Arial Narrow" w:hAnsi="Arial Narrow" w:cs="Times New Roman"/>
          <w:sz w:val="22"/>
          <w:szCs w:val="22"/>
          <w:lang w:val="en-US"/>
        </w:rPr>
        <w:t>,</w:t>
      </w:r>
      <w:r w:rsidR="003C3483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r w:rsidR="00350A2B">
        <w:rPr>
          <w:rFonts w:ascii="Arial Narrow" w:hAnsi="Arial Narrow" w:cs="Times New Roman"/>
          <w:sz w:val="22"/>
          <w:szCs w:val="22"/>
          <w:lang w:val="en-US"/>
        </w:rPr>
        <w:t>Public International Law</w:t>
      </w:r>
      <w:r w:rsidR="00E917F9">
        <w:rPr>
          <w:rFonts w:ascii="Arial Narrow" w:hAnsi="Arial Narrow" w:cs="Times New Roman"/>
          <w:sz w:val="22"/>
          <w:szCs w:val="22"/>
          <w:lang w:val="en-US"/>
        </w:rPr>
        <w:t xml:space="preserve">, </w:t>
      </w:r>
      <w:r w:rsidR="00E917F9" w:rsidRPr="00E917F9">
        <w:rPr>
          <w:rFonts w:ascii="Arial Narrow" w:hAnsi="Arial Narrow" w:cs="Times New Roman"/>
          <w:sz w:val="22"/>
          <w:szCs w:val="22"/>
          <w:lang w:val="en-US"/>
        </w:rPr>
        <w:t>EU substantive law</w:t>
      </w:r>
      <w:r w:rsidR="00E917F9">
        <w:rPr>
          <w:rFonts w:ascii="Arial Narrow" w:hAnsi="Arial Narrow" w:cs="Times New Roman"/>
          <w:sz w:val="22"/>
          <w:szCs w:val="22"/>
          <w:lang w:val="en-US"/>
        </w:rPr>
        <w:t xml:space="preserve">, </w:t>
      </w:r>
    </w:p>
    <w:sectPr w:rsidR="003968BD" w:rsidSect="005C4C67">
      <w:type w:val="continuous"/>
      <w:pgSz w:w="11906" w:h="16838"/>
      <w:pgMar w:top="851" w:right="1797" w:bottom="1440" w:left="1797" w:header="720" w:footer="720" w:gutter="0"/>
      <w:cols w:space="720"/>
      <w:docGrid w:linePitch="4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F101" w14:textId="77777777" w:rsidR="00E917F9" w:rsidRDefault="00E917F9" w:rsidP="005C4C67">
      <w:r>
        <w:separator/>
      </w:r>
    </w:p>
  </w:endnote>
  <w:endnote w:type="continuationSeparator" w:id="0">
    <w:p w14:paraId="6C3E246B" w14:textId="77777777" w:rsidR="00E917F9" w:rsidRDefault="00E917F9" w:rsidP="005C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ont40"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E807" w14:textId="77777777" w:rsidR="00E917F9" w:rsidRDefault="00E917F9" w:rsidP="005C4C67">
      <w:r>
        <w:separator/>
      </w:r>
    </w:p>
  </w:footnote>
  <w:footnote w:type="continuationSeparator" w:id="0">
    <w:p w14:paraId="199261B2" w14:textId="77777777" w:rsidR="00E917F9" w:rsidRDefault="00E917F9" w:rsidP="005C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D2B1A"/>
    <w:multiLevelType w:val="hybridMultilevel"/>
    <w:tmpl w:val="F3FA4168"/>
    <w:lvl w:ilvl="0" w:tplc="CCDE0FD0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322D"/>
    <w:multiLevelType w:val="hybridMultilevel"/>
    <w:tmpl w:val="65FCCEDC"/>
    <w:lvl w:ilvl="0" w:tplc="179645E6">
      <w:numFmt w:val="bullet"/>
      <w:lvlText w:val="-"/>
      <w:lvlJc w:val="left"/>
      <w:pPr>
        <w:ind w:left="928" w:hanging="360"/>
      </w:pPr>
      <w:rPr>
        <w:rFonts w:ascii="Times" w:eastAsia="Times" w:hAnsi="Times" w:hint="default"/>
        <w:w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3BE3"/>
    <w:multiLevelType w:val="hybridMultilevel"/>
    <w:tmpl w:val="664E336C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6B3ACA"/>
    <w:multiLevelType w:val="hybridMultilevel"/>
    <w:tmpl w:val="286AEE5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D90555F"/>
    <w:multiLevelType w:val="hybridMultilevel"/>
    <w:tmpl w:val="D7207A9A"/>
    <w:lvl w:ilvl="0" w:tplc="179645E6">
      <w:numFmt w:val="bullet"/>
      <w:lvlText w:val="-"/>
      <w:lvlJc w:val="left"/>
      <w:pPr>
        <w:ind w:left="928" w:hanging="360"/>
      </w:pPr>
      <w:rPr>
        <w:rFonts w:ascii="Times" w:eastAsia="Times" w:hAnsi="Times" w:hint="default"/>
        <w:w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CN" w:val="([{£¥'&quot;‵〈《「『【〔〖（［｛￡￥〝︵︷︹︻︽︿﹁﹃﹙﹛﹝（｛“‘"/>
  <w:noLineBreaksBefore w:lang="zh-CN" w:val=":!),.:;?]}¢'&quot;、。〉》」』】〕〗〞︰︱︳﹐､﹒﹔﹕﹖﹗﹚﹜﹞！），．：；？｜｝︴︶︸︺︼︾﹀﹂﹄﹏､～￠々‖•·ˇˉ―--′’”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7"/>
    <w:rsid w:val="00010165"/>
    <w:rsid w:val="0001348A"/>
    <w:rsid w:val="000139E7"/>
    <w:rsid w:val="00034271"/>
    <w:rsid w:val="00040D75"/>
    <w:rsid w:val="000B6CBF"/>
    <w:rsid w:val="000D4C8C"/>
    <w:rsid w:val="000E5269"/>
    <w:rsid w:val="00113C9D"/>
    <w:rsid w:val="0015293A"/>
    <w:rsid w:val="00166C73"/>
    <w:rsid w:val="001B4D92"/>
    <w:rsid w:val="001C2D0D"/>
    <w:rsid w:val="001D0DED"/>
    <w:rsid w:val="001E1BE3"/>
    <w:rsid w:val="00210EC5"/>
    <w:rsid w:val="00236F0A"/>
    <w:rsid w:val="00246E2B"/>
    <w:rsid w:val="002820F0"/>
    <w:rsid w:val="002D3E42"/>
    <w:rsid w:val="0030641F"/>
    <w:rsid w:val="003078EF"/>
    <w:rsid w:val="0034388E"/>
    <w:rsid w:val="00350A2B"/>
    <w:rsid w:val="00362AF7"/>
    <w:rsid w:val="003968BD"/>
    <w:rsid w:val="003C3483"/>
    <w:rsid w:val="004009EA"/>
    <w:rsid w:val="00442EB2"/>
    <w:rsid w:val="004524C7"/>
    <w:rsid w:val="004713A7"/>
    <w:rsid w:val="00476C72"/>
    <w:rsid w:val="004A7F72"/>
    <w:rsid w:val="004D1FCA"/>
    <w:rsid w:val="0051246A"/>
    <w:rsid w:val="00525E8E"/>
    <w:rsid w:val="005532FF"/>
    <w:rsid w:val="00564C23"/>
    <w:rsid w:val="005726A3"/>
    <w:rsid w:val="00576593"/>
    <w:rsid w:val="005914C4"/>
    <w:rsid w:val="005C4C67"/>
    <w:rsid w:val="005D3539"/>
    <w:rsid w:val="005E1A7B"/>
    <w:rsid w:val="00626EEF"/>
    <w:rsid w:val="006752D7"/>
    <w:rsid w:val="006A00C1"/>
    <w:rsid w:val="006A21C9"/>
    <w:rsid w:val="006B7003"/>
    <w:rsid w:val="006C7A8A"/>
    <w:rsid w:val="007071D2"/>
    <w:rsid w:val="00777076"/>
    <w:rsid w:val="007E5C6E"/>
    <w:rsid w:val="0081718B"/>
    <w:rsid w:val="00832E6B"/>
    <w:rsid w:val="00841E13"/>
    <w:rsid w:val="00854C28"/>
    <w:rsid w:val="00855C03"/>
    <w:rsid w:val="00875D95"/>
    <w:rsid w:val="00885E5D"/>
    <w:rsid w:val="008F7BDF"/>
    <w:rsid w:val="00930B5A"/>
    <w:rsid w:val="0093264E"/>
    <w:rsid w:val="009A3313"/>
    <w:rsid w:val="00A70DF3"/>
    <w:rsid w:val="00AB2B68"/>
    <w:rsid w:val="00AE6363"/>
    <w:rsid w:val="00B411E5"/>
    <w:rsid w:val="00B76781"/>
    <w:rsid w:val="00BC6CEE"/>
    <w:rsid w:val="00BD1F80"/>
    <w:rsid w:val="00BE32D9"/>
    <w:rsid w:val="00C25FB7"/>
    <w:rsid w:val="00C52FB0"/>
    <w:rsid w:val="00C674E9"/>
    <w:rsid w:val="00C837E5"/>
    <w:rsid w:val="00CC6128"/>
    <w:rsid w:val="00CC7439"/>
    <w:rsid w:val="00CD0D69"/>
    <w:rsid w:val="00CD2885"/>
    <w:rsid w:val="00CF229F"/>
    <w:rsid w:val="00D4042A"/>
    <w:rsid w:val="00D4549F"/>
    <w:rsid w:val="00D85717"/>
    <w:rsid w:val="00D9120B"/>
    <w:rsid w:val="00DB76CB"/>
    <w:rsid w:val="00DE10C8"/>
    <w:rsid w:val="00E31F26"/>
    <w:rsid w:val="00E41767"/>
    <w:rsid w:val="00E469EF"/>
    <w:rsid w:val="00E772C8"/>
    <w:rsid w:val="00E917F9"/>
    <w:rsid w:val="00EF5C28"/>
    <w:rsid w:val="00F646B1"/>
    <w:rsid w:val="00F80961"/>
    <w:rsid w:val="00F8122A"/>
    <w:rsid w:val="00F86CB1"/>
    <w:rsid w:val="00FA3611"/>
    <w:rsid w:val="00FB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FE9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A"/>
    <w:pPr>
      <w:suppressAutoHyphens/>
    </w:pPr>
    <w:rPr>
      <w:rFonts w:eastAsia="SimSun" w:cs="Lucida Sans"/>
      <w:kern w:val="1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0B5A"/>
  </w:style>
  <w:style w:type="character" w:customStyle="1" w:styleId="WW-Absatz-Standardschriftart">
    <w:name w:val="WW-Absatz-Standardschriftart"/>
    <w:rsid w:val="00930B5A"/>
  </w:style>
  <w:style w:type="character" w:customStyle="1" w:styleId="ListLabel1">
    <w:name w:val="ListLabel 1"/>
    <w:rsid w:val="00930B5A"/>
    <w:rPr>
      <w:rFonts w:cs="font40"/>
    </w:rPr>
  </w:style>
  <w:style w:type="character" w:customStyle="1" w:styleId="BalloonTextChar">
    <w:name w:val="Balloon Text Char"/>
    <w:rsid w:val="00930B5A"/>
    <w:rPr>
      <w:rFonts w:ascii="Lucida Grande" w:eastAsia="SimSun" w:hAnsi="Lucida Grande" w:cs="Lucida Grande"/>
      <w:kern w:val="1"/>
      <w:sz w:val="18"/>
      <w:szCs w:val="18"/>
      <w:lang w:val="es-ES" w:eastAsia="hi-IN" w:bidi="hi-IN"/>
    </w:rPr>
  </w:style>
  <w:style w:type="character" w:styleId="Hipervnculo">
    <w:name w:val="Hyperlink"/>
    <w:rsid w:val="00930B5A"/>
    <w:rPr>
      <w:color w:val="0000FF"/>
      <w:u w:val="single"/>
    </w:rPr>
  </w:style>
  <w:style w:type="paragraph" w:customStyle="1" w:styleId="Encabezado1">
    <w:name w:val="Encabezado1"/>
    <w:basedOn w:val="Normal"/>
    <w:next w:val="Textodecuerpo"/>
    <w:rsid w:val="00930B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930B5A"/>
    <w:pPr>
      <w:spacing w:after="120"/>
    </w:pPr>
  </w:style>
  <w:style w:type="paragraph" w:styleId="Lista">
    <w:name w:val="List"/>
    <w:basedOn w:val="Textodecuerpo"/>
    <w:rsid w:val="00930B5A"/>
  </w:style>
  <w:style w:type="paragraph" w:customStyle="1" w:styleId="Etiqueta">
    <w:name w:val="Etiqueta"/>
    <w:basedOn w:val="Normal"/>
    <w:rsid w:val="00930B5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30B5A"/>
    <w:pPr>
      <w:suppressLineNumbers/>
    </w:pPr>
  </w:style>
  <w:style w:type="paragraph" w:styleId="Prrafodelista">
    <w:name w:val="List Paragraph"/>
    <w:basedOn w:val="Normal"/>
    <w:qFormat/>
    <w:rsid w:val="00930B5A"/>
    <w:pPr>
      <w:ind w:left="720"/>
    </w:pPr>
  </w:style>
  <w:style w:type="paragraph" w:customStyle="1" w:styleId="CVNormal">
    <w:name w:val="CV Normal"/>
    <w:basedOn w:val="Normal"/>
    <w:rsid w:val="00930B5A"/>
    <w:pPr>
      <w:ind w:left="113" w:right="113"/>
    </w:pPr>
    <w:rPr>
      <w:rFonts w:ascii="Arial Narrow" w:eastAsia="Times New Roman" w:hAnsi="Arial Narrow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rsid w:val="00930B5A"/>
    <w:rPr>
      <w:rFonts w:ascii="Lucida Grande" w:hAnsi="Lucida Grande" w:cs="Lucida Grande"/>
      <w:sz w:val="18"/>
      <w:szCs w:val="18"/>
    </w:rPr>
  </w:style>
  <w:style w:type="paragraph" w:customStyle="1" w:styleId="Contenidodelatabla">
    <w:name w:val="Contenido de la tabla"/>
    <w:basedOn w:val="Normal"/>
    <w:rsid w:val="00930B5A"/>
    <w:pPr>
      <w:suppressLineNumbers/>
    </w:pPr>
  </w:style>
  <w:style w:type="paragraph" w:customStyle="1" w:styleId="Encabezadodelatabla">
    <w:name w:val="Encabezado de la tabla"/>
    <w:basedOn w:val="Contenidodelatabla"/>
    <w:rsid w:val="00930B5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4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2820F0"/>
    <w:rPr>
      <w:color w:val="800080"/>
      <w:u w:val="single"/>
    </w:rPr>
  </w:style>
  <w:style w:type="table" w:styleId="Sombreadoclaro">
    <w:name w:val="Light Shading"/>
    <w:basedOn w:val="Tablanormal"/>
    <w:uiPriority w:val="60"/>
    <w:rsid w:val="00DB76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DB76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4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C67"/>
    <w:rPr>
      <w:rFonts w:eastAsia="SimSun" w:cs="Lucida Sans"/>
      <w:kern w:val="1"/>
      <w:sz w:val="24"/>
      <w:szCs w:val="24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5C4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C67"/>
    <w:rPr>
      <w:rFonts w:eastAsia="SimSun" w:cs="Lucida Sans"/>
      <w:kern w:val="1"/>
      <w:sz w:val="24"/>
      <w:szCs w:val="24"/>
      <w:lang w:val="es-E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D1FCA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772C8"/>
    <w:rPr>
      <w:rFonts w:ascii="Lucida Grande" w:eastAsia="SimSun" w:hAnsi="Lucida Grande" w:cs="Lucida Grande"/>
      <w:kern w:val="1"/>
      <w:sz w:val="18"/>
      <w:szCs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A"/>
    <w:pPr>
      <w:suppressAutoHyphens/>
    </w:pPr>
    <w:rPr>
      <w:rFonts w:eastAsia="SimSun" w:cs="Lucida Sans"/>
      <w:kern w:val="1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0B5A"/>
  </w:style>
  <w:style w:type="character" w:customStyle="1" w:styleId="WW-Absatz-Standardschriftart">
    <w:name w:val="WW-Absatz-Standardschriftart"/>
    <w:rsid w:val="00930B5A"/>
  </w:style>
  <w:style w:type="character" w:customStyle="1" w:styleId="ListLabel1">
    <w:name w:val="ListLabel 1"/>
    <w:rsid w:val="00930B5A"/>
    <w:rPr>
      <w:rFonts w:cs="font40"/>
    </w:rPr>
  </w:style>
  <w:style w:type="character" w:customStyle="1" w:styleId="BalloonTextChar">
    <w:name w:val="Balloon Text Char"/>
    <w:rsid w:val="00930B5A"/>
    <w:rPr>
      <w:rFonts w:ascii="Lucida Grande" w:eastAsia="SimSun" w:hAnsi="Lucida Grande" w:cs="Lucida Grande"/>
      <w:kern w:val="1"/>
      <w:sz w:val="18"/>
      <w:szCs w:val="18"/>
      <w:lang w:val="es-ES" w:eastAsia="hi-IN" w:bidi="hi-IN"/>
    </w:rPr>
  </w:style>
  <w:style w:type="character" w:styleId="Hipervnculo">
    <w:name w:val="Hyperlink"/>
    <w:rsid w:val="00930B5A"/>
    <w:rPr>
      <w:color w:val="0000FF"/>
      <w:u w:val="single"/>
    </w:rPr>
  </w:style>
  <w:style w:type="paragraph" w:customStyle="1" w:styleId="Encabezado1">
    <w:name w:val="Encabezado1"/>
    <w:basedOn w:val="Normal"/>
    <w:next w:val="Textodecuerpo"/>
    <w:rsid w:val="00930B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930B5A"/>
    <w:pPr>
      <w:spacing w:after="120"/>
    </w:pPr>
  </w:style>
  <w:style w:type="paragraph" w:styleId="Lista">
    <w:name w:val="List"/>
    <w:basedOn w:val="Textodecuerpo"/>
    <w:rsid w:val="00930B5A"/>
  </w:style>
  <w:style w:type="paragraph" w:customStyle="1" w:styleId="Etiqueta">
    <w:name w:val="Etiqueta"/>
    <w:basedOn w:val="Normal"/>
    <w:rsid w:val="00930B5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30B5A"/>
    <w:pPr>
      <w:suppressLineNumbers/>
    </w:pPr>
  </w:style>
  <w:style w:type="paragraph" w:styleId="Prrafodelista">
    <w:name w:val="List Paragraph"/>
    <w:basedOn w:val="Normal"/>
    <w:qFormat/>
    <w:rsid w:val="00930B5A"/>
    <w:pPr>
      <w:ind w:left="720"/>
    </w:pPr>
  </w:style>
  <w:style w:type="paragraph" w:customStyle="1" w:styleId="CVNormal">
    <w:name w:val="CV Normal"/>
    <w:basedOn w:val="Normal"/>
    <w:rsid w:val="00930B5A"/>
    <w:pPr>
      <w:ind w:left="113" w:right="113"/>
    </w:pPr>
    <w:rPr>
      <w:rFonts w:ascii="Arial Narrow" w:eastAsia="Times New Roman" w:hAnsi="Arial Narrow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rsid w:val="00930B5A"/>
    <w:rPr>
      <w:rFonts w:ascii="Lucida Grande" w:hAnsi="Lucida Grande" w:cs="Lucida Grande"/>
      <w:sz w:val="18"/>
      <w:szCs w:val="18"/>
    </w:rPr>
  </w:style>
  <w:style w:type="paragraph" w:customStyle="1" w:styleId="Contenidodelatabla">
    <w:name w:val="Contenido de la tabla"/>
    <w:basedOn w:val="Normal"/>
    <w:rsid w:val="00930B5A"/>
    <w:pPr>
      <w:suppressLineNumbers/>
    </w:pPr>
  </w:style>
  <w:style w:type="paragraph" w:customStyle="1" w:styleId="Encabezadodelatabla">
    <w:name w:val="Encabezado de la tabla"/>
    <w:basedOn w:val="Contenidodelatabla"/>
    <w:rsid w:val="00930B5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4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2820F0"/>
    <w:rPr>
      <w:color w:val="800080"/>
      <w:u w:val="single"/>
    </w:rPr>
  </w:style>
  <w:style w:type="table" w:styleId="Sombreadoclaro">
    <w:name w:val="Light Shading"/>
    <w:basedOn w:val="Tablanormal"/>
    <w:uiPriority w:val="60"/>
    <w:rsid w:val="00DB76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DB76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4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C67"/>
    <w:rPr>
      <w:rFonts w:eastAsia="SimSun" w:cs="Lucida Sans"/>
      <w:kern w:val="1"/>
      <w:sz w:val="24"/>
      <w:szCs w:val="24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5C4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C67"/>
    <w:rPr>
      <w:rFonts w:eastAsia="SimSun" w:cs="Lucida Sans"/>
      <w:kern w:val="1"/>
      <w:sz w:val="24"/>
      <w:szCs w:val="24"/>
      <w:lang w:val="es-E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D1FCA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772C8"/>
    <w:rPr>
      <w:rFonts w:ascii="Lucida Grande" w:eastAsia="SimSun" w:hAnsi="Lucida Grande" w:cs="Lucida Grande"/>
      <w:kern w:val="1"/>
      <w:sz w:val="18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ose.mpdenanclares@maec.es" TargetMode="External"/><Relationship Id="rId20" Type="http://schemas.openxmlformats.org/officeDocument/2006/relationships/hyperlink" Target="http://www.realinstitutoelcano.org" TargetMode="External"/><Relationship Id="rId21" Type="http://schemas.openxmlformats.org/officeDocument/2006/relationships/hyperlink" Target="http://www.realinstitutoelcano.or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iustel.com" TargetMode="External"/><Relationship Id="rId11" Type="http://schemas.openxmlformats.org/officeDocument/2006/relationships/hyperlink" Target="http://www.realinstitutoelcano.org" TargetMode="External"/><Relationship Id="rId12" Type="http://schemas.openxmlformats.org/officeDocument/2006/relationships/hyperlink" Target="http://www.iustel.com" TargetMode="External"/><Relationship Id="rId13" Type="http://schemas.openxmlformats.org/officeDocument/2006/relationships/hyperlink" Target="http://www.iustel.com" TargetMode="External"/><Relationship Id="rId14" Type="http://schemas.openxmlformats.org/officeDocument/2006/relationships/hyperlink" Target="http://www.iustel.com" TargetMode="External"/><Relationship Id="rId15" Type="http://schemas.openxmlformats.org/officeDocument/2006/relationships/hyperlink" Target="http://www.iustel.com" TargetMode="External"/><Relationship Id="rId16" Type="http://schemas.openxmlformats.org/officeDocument/2006/relationships/hyperlink" Target="http://www.iustel.com" TargetMode="External"/><Relationship Id="rId17" Type="http://schemas.openxmlformats.org/officeDocument/2006/relationships/hyperlink" Target="http://www.iustel.com" TargetMode="External"/><Relationship Id="rId18" Type="http://schemas.openxmlformats.org/officeDocument/2006/relationships/hyperlink" Target="http://www.iustel.com" TargetMode="External"/><Relationship Id="rId19" Type="http://schemas.openxmlformats.org/officeDocument/2006/relationships/hyperlink" Target="http://www.realinstitutoelcano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A3A00-CEB5-3A4A-8D22-079C078D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4100</Words>
  <Characters>22554</Characters>
  <Application>Microsoft Macintosh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Rodriguez Sanchez-Tabernero</dc:creator>
  <cp:keywords/>
  <dc:description/>
  <cp:lastModifiedBy>Daniel González Herrera</cp:lastModifiedBy>
  <cp:revision>11</cp:revision>
  <cp:lastPrinted>2016-01-13T17:10:00Z</cp:lastPrinted>
  <dcterms:created xsi:type="dcterms:W3CDTF">2016-03-31T16:49:00Z</dcterms:created>
  <dcterms:modified xsi:type="dcterms:W3CDTF">2016-07-06T10:52:00Z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